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eg" ContentType="image/jpeg"/>
  <Default Extension="wmf" ContentType="image/x-wmf"/>
  <Default Extension="png" ContentType="image/.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0.xml" ContentType="application/vnd.openxmlformats-officedocument.wordprocessingml.footer+xml"/>
  <Override PartName="/word/header19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openxmlformats.org/drawingml/2006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10/wordprocessingInk" xmlns:wps="http://schemas.microsoft.com/office/word/2010/wordprocessingShape" mc:Ignorable="w14 wp14">
  <w:body>
    <w:p>
      <w:pPr>
        <w:pStyle w:val="Title"/>
        <w:spacing w:after="140" w:line="240" w:lineRule="auto"/>
        <w:rPr/>
      </w:pPr>
      <w:r>
        <w:rPr>
          <w:rFonts w:ascii="Arial" w:eastAsia="Arial" w:hAnsi="Arial" w:cs="Arial"/>
          <w:b/>
          <w:color w:val="000000"/>
          <w:sz w:val="34"/>
        </w:rPr>
        <w:t xml:space="preserve">INFORME DE VALORACIÓN</w:t>
      </w:r>
    </w:p>
    <w:p>
      <w:pPr>
        <w:spacing w:after="100"/>
        <w:rPr/>
      </w:pPr>
      <w:r>
        <w:rPr>
          <w:rFonts w:ascii="Arial" w:eastAsia="Arial" w:hAnsi="Arial" w:cs="Arial"/>
          <w:b w:val="0"/>
          <w:color w:val="000000"/>
          <w:sz w:val="18"/>
        </w:rPr>
        <w:t xml:space="preserve">Referencia catastral 4344401VK2844S0104DJ · 13 de octubre de 2026</w:t>
      </w:r>
    </w:p>
    <w:p>
      <w:pPr>
        <w:spacing w:before="280" w:after="160"/>
        <w:rPr/>
      </w:pPr>
      <w:r>
        <w:rPr>
          <w:rFonts w:ascii="Arial" w:eastAsia="Arial" w:hAnsi="Arial" w:cs="Arial"/>
          <w:b/>
          <w:color w:val="000000"/>
          <w:sz w:val="24"/>
        </w:rPr>
        <w:t xml:space="preserve">Resumen de la valoración</w:t>
      </w:r>
    </w:p>
    <w:p>
      <w:pPr>
        <w:spacing w:after="100"/>
        <w:rPr/>
      </w:pPr>
      <w:r>
        <w:rPr>
          <w:rFonts w:ascii="Arial" w:eastAsia="Arial" w:hAnsi="Arial" w:cs="Arial"/>
          <w:b w:val="0"/>
          <w:color w:val="000000"/>
          <w:sz w:val="20"/>
        </w:rPr>
        <w:t xml:space="preserve">El valor orientativo se obtiene de las compraventas seleccionadas y de la superficie catastral adoptada del inmueble.</w:t>
      </w:r>
    </w:p>
    <w:tbl>
      <w:tblPr>
        <w:tblStyle w:val="TableGrid"/>
        <w:tblLook w:val="04A0" w:firstRow="1" w:lastRow="0" w:firstColumn="1" w:lastColumn="0" w:noHBand="0" w:noVBand="1"/>
        <w:tblDescription w:val="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one" w:sz="0" w:space="0" w:color="auto"/>
          <w:tr2bl w:val="none" w:sz="0" w:space="0" w:color="auto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3439"/>
        <w:gridCol w:w="3439"/>
        <w:gridCol w:w="3439"/>
      </w:tblGrid>
      <w:tr>
        <w:trPr>
          <w:tblHeader/>
          <w:jc w:val="center"/>
        </w:trPr>
        <w:tc>
          <w:tcPr>
            <w:tcW w:type="dxa" w:w="343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Precio medio de testigos</w:t>
            </w:r>
          </w:p>
        </w:tc>
        <w:tc>
          <w:tcPr>
            <w:tcW w:type="dxa" w:w="343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Precio medio por m²</w:t>
            </w:r>
          </w:p>
        </w:tc>
        <w:tc>
          <w:tcPr>
            <w:tcW w:type="dxa" w:w="343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Valor orientativo del inmueble</w:t>
            </w:r>
          </w:p>
        </w:tc>
      </w:tr>
      <w:tr>
        <w:trPr>
          <w:jc w:val="center"/>
        </w:trPr>
        <w:tc>
          <w:tcPr>
            <w:tcW w:type="dxa" w:w="343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601.700 €</w:t>
            </w:r>
          </w:p>
        </w:tc>
        <w:tc>
          <w:tcPr>
            <w:tcW w:type="dxa" w:w="343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4.644 €/m²</w:t>
            </w:r>
          </w:p>
        </w:tc>
        <w:tc>
          <w:tcPr>
            <w:tcW w:type="dxa" w:w="343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b/>
                <w:color w:val="000000"/>
                <w:sz w:val="36"/>
              </w:rPr>
              <w:t xml:space="preserve">803.000 €</w:t>
            </w:r>
          </w:p>
        </w:tc>
      </w:tr>
    </w:tbl>
    <w:p>
      <w:pPr>
        <w:keepNext/>
        <w:spacing w:before="80" w:after="100"/>
        <w:rPr/>
      </w:pPr>
      <w:r>
        <w:rPr>
          <w:rFonts w:ascii="Arial" w:eastAsia="Arial" w:hAnsi="Arial" w:cs="Arial"/>
          <w:color w:val="000000"/>
          <w:sz w:val="18"/>
        </w:rPr>
        <w:t xml:space="preserve">Estimación orientativa sin inspección del inmueble. Importe redondeado a miles de euros.</w:t>
      </w:r>
    </w:p>
    <w:p>
      <w:pPr>
        <w:spacing w:before="140" w:after="100"/>
        <w:rPr/>
      </w:pPr>
      <w:r>
        <w:rPr>
          <w:rFonts w:ascii="Arial" w:eastAsia="Arial" w:hAnsi="Arial" w:cs="Arial"/>
          <w:b w:val="0"/>
          <w:color w:val="000000"/>
          <w:sz w:val="18"/>
        </w:rPr>
        <w:t xml:space="preserve">Testigos incluidos: 10. Superficie utilizada: 173,00 m².</w:t>
      </w:r>
    </w:p>
    <w:p>
      <w:pPr>
        <w:spacing w:before="280" w:after="160"/>
        <w:rPr/>
      </w:pPr>
      <w:r>
        <w:rPr>
          <w:rFonts w:ascii="Arial" w:eastAsia="Arial" w:hAnsi="Arial" w:cs="Arial"/>
          <w:b/>
          <w:color w:val="000000"/>
          <w:sz w:val="24"/>
        </w:rPr>
        <w:t xml:space="preserve">Datos del inmueble</w:t>
      </w:r>
    </w:p>
    <w:tbl>
      <w:tblPr>
        <w:tblStyle w:val="TableGrid"/>
        <w:tblLook w:val="04A0" w:firstRow="1" w:lastRow="0" w:firstColumn="1" w:lastColumn="0" w:noHBand="0" w:noVBand="1"/>
        <w:tblDescription w:val="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one" w:sz="0" w:space="0" w:color="auto"/>
          <w:tr2bl w:val="none" w:sz="0" w:space="0" w:color="auto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5158"/>
        <w:gridCol w:w="5158"/>
      </w:tblGrid>
      <w:tr>
        <w:trPr>
          <w:tblHeader/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Característica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Descripción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Dirección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CL CASTILLO DE AREVALO 1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Municipio y provincia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LAS ROZAS DE MADRID, Madrid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Uso principal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Residencial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Año de construcción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2004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Superficie catastral adoptada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173,00 m²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Subtipo utilizado en la consulta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Piso libre</w:t>
            </w:r>
          </w:p>
        </w:tc>
      </w:tr>
    </w:tbl>
    <w:p>
      <w:pPr>
        <w:keepNext/>
        <w:spacing w:before="400" w:after="100"/>
        <w:jc w:val="center"/>
        <w:rPr/>
      </w:pPr>
      <w:r>
        <w:rPr>
          <w:b/>
          <w:sz w:val="18"/>
        </w:rPr>
        <w:t xml:space="preserve">Parcela catastral en la que se integra el inmueble</w:t>
      </w:r>
    </w:p>
    <w:p>
      <w:pPr>
        <w:spacing w:after="80"/>
        <w:jc w:val="left"/>
      </w:pPr>
      <w:r>
        <w:rPr/>
        <w:drawing>
          <wp:inline distT="0" distB="0" distL="0" distR="0">
            <wp:extent cx="6550660" cy="3312000"/>
            <wp:effectExtent l="0" t="0" r="0" b="0"/>
            <wp:docPr id="1" name="Mapa de parcela" descr="MAPA_PARCELA;colores=#FFFF00;maptype=satell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Mapa de parcela" descr="MAPA_PARCELA;colores=#FFFF00;maptype=satellite"/>
                    <pic:cNvPicPr>
                      <a:picLocks noChangeAspect="1" noChangeArrowheads="1"/>
                    </pic:cNvPicPr>
                  </pic:nvPicPr>
                  <pic:blipFill>
                    <a:blip r:embed="rIdTemplateImage69b0b82f4e9a42e484739a16e6195af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33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/>
    </w:p>
    <w:p>
      <w:pPr>
        <w:keepNext/>
        <w:spacing w:before="280" w:after="160"/>
        <w:rPr/>
      </w:pPr>
      <w:r>
        <w:rPr>
          <w:rFonts w:ascii="Arial" w:eastAsia="Arial" w:hAnsi="Arial" w:cs="Arial"/>
          <w:b/>
          <w:color w:val="000000"/>
          <w:sz w:val="24"/>
        </w:rPr>
        <w:t xml:space="preserve">Ubicación y entorno</w:t>
      </w:r>
    </w:p>
    <w:tbl>
      <w:tblPr>
        <w:tblLook w:val="04A0" w:firstRow="1" w:lastRow="0" w:firstColumn="1" w:lastColumn="0" w:noHBand="0" w:noVBand="1"/>
        <w:tblDescription w:val=""/>
        <w:tblW w:w="10316" w:type="dxa"/>
        <w:jc w:val="left"/>
        <w:tblInd w:w="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cantSplit/>
        </w:trPr>
        <w:tc>
          <w:tcPr>
            <w:tcW w:type="dxa" w:w="10316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60" w:after="100"/>
              <w:jc w:val="center"/>
              <w:rPr/>
            </w:pPr>
            <w:r>
              <w:rPr>
                <w:b/>
                <w:sz w:val="18"/>
              </w:rPr>
              <w:t xml:space="preserve">Mapa de localización</w:t>
            </w:r>
          </w:p>
          <w:p>
            <w:pPr>
              <w:spacing w:after="80"/>
              <w:jc w:val="left"/>
            </w:pPr>
            <w:r>
              <w:rPr/>
              <w:drawing>
                <wp:inline distT="0" distB="0" distL="0" distR="0">
                  <wp:extent cx="6550660" cy="4298871"/>
                  <wp:effectExtent l="0" t="0" r="0" b="0"/>
                  <wp:docPr id="2" name="Mapa de localización" descr="MAPA_INMUEBLE;colores=#D92F2F;maptype=roadm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Mapa de localización" descr="MAPA_INMUEBLE;colores=#D92F2F;maptype=roadm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TemplateImageb9c38241340345aeb52cfd4ed0491e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0660" cy="42988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/>
          </w:p>
        </w:tc>
      </w:tr>
      <w:tr>
        <w:trPr>
          <w:cantSplit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60" w:after="100"/>
              <w:jc w:val="center"/>
              <w:rPr/>
            </w:pPr>
            <w:r>
              <w:rPr>
                <w:b/>
                <w:sz w:val="18"/>
              </w:rPr>
              <w:t xml:space="preserve">Vista a pie de calle</w:t>
            </w:r>
          </w:p>
          <w:p>
            <w:pPr>
              <w:spacing w:after="80"/>
              <w:jc w:val="left"/>
            </w:pPr>
            <w:r>
              <w:rPr/>
              <w:drawing>
                <wp:inline distT="0" distB="0" distL="0" distR="0">
                  <wp:extent cx="3194367" cy="2096303"/>
                  <wp:effectExtent l="0" t="0" r="0" b="0"/>
                  <wp:docPr id="3" name="Vista a pie de calle" descr="VISTA_CA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Vista a pie de calle" descr="VISTA_CA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TemplateImage7c31d6c591ad4b7cb7657b0fe24ecb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367" cy="20963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spacing w:before="160" w:after="100"/>
              <w:jc w:val="center"/>
              <w:rPr/>
            </w:pPr>
            <w:r>
              <w:rPr>
                <w:b/>
                <w:sz w:val="18"/>
              </w:rPr>
              <w:t xml:space="preserve">Fotografía de fachada</w:t>
            </w:r>
          </w:p>
          <w:p>
            <w:pPr>
              <w:spacing w:after="80"/>
              <w:jc w:val="right"/>
            </w:pPr>
            <w:r>
              <w:rPr/>
              <w:drawing>
                <wp:inline distT="0" distB="0" distL="0" distR="0">
                  <wp:extent cx="3194367" cy="2096303"/>
                  <wp:effectExtent l="0" t="0" r="0" b="0"/>
                  <wp:docPr id="4" name="Fotografía de fachada" descr="FOTO_FACH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Fotografía de fachada" descr="FOTO_FACH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TemplateImage3735887bca9a492a970ed8e24a53186b"/>
                          <a:srcRect l="0" t="474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367" cy="20963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pageBreakBefore/>
        <w:spacing w:before="0" w:after="160"/>
        <w:rPr/>
      </w:pPr>
      <w:r>
        <w:rPr>
          <w:rFonts w:ascii="Arial" w:eastAsia="Arial" w:hAnsi="Arial" w:cs="Arial"/>
          <w:b/>
          <w:color w:val="000000"/>
          <w:sz w:val="24"/>
        </w:rPr>
        <w:t xml:space="preserve">Comparables</w:t>
      </w:r>
    </w:p>
    <w:p>
      <w:pPr>
        <w:spacing w:after="100"/>
        <w:rPr/>
      </w:pPr>
      <w:r>
        <w:rPr>
          <w:rFonts w:ascii="Arial" w:eastAsia="Arial" w:hAnsi="Arial" w:cs="Arial"/>
          <w:b w:val="0"/>
          <w:color w:val="000000"/>
          <w:sz w:val="18"/>
        </w:rPr>
        <w:t xml:space="preserve">Compraventas proporcionadas por el Notariado, con posiciones desplazadas 50 m de su ubicación original.</w:t>
      </w:r>
    </w:p>
    <w:p>
      <w:pPr>
        <w:keepNext/>
        <w:spacing w:after="100"/>
        <w:rPr/>
      </w:pPr>
      <w:r>
        <w:rPr>
          <w:rFonts w:ascii="Arial" w:eastAsia="Arial" w:hAnsi="Arial" w:cs="Arial"/>
          <w:b w:val="0"/>
          <w:color w:val="000000"/>
          <w:sz w:val="18"/>
        </w:rPr>
        <w:t xml:space="preserve">V: inmueble valorado. Los círculos numerados se corresponden con el ID de cada comparable en la tabla.</w:t>
      </w:r>
    </w:p>
    <w:p>
      <w:pPr>
        <w:keepLines/>
        <w:spacing w:after="280" w:before="0"/>
        <w:jc w:val="center"/>
      </w:pPr>
      <w:r>
        <w:rPr/>
        <w:drawing>
          <wp:inline distT="0" distB="0" distL="0" distR="0">
            <wp:extent cx="6550660" cy="3684905"/>
            <wp:effectExtent l="0" t="0" r="0" b="0"/>
            <wp:docPr id="5" name="Mapa de comparables" descr="MAPA_COMPARABLES;colores=#D92F2F,#2467B2;maptype=road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pa de comparables" descr="MAPA_COMPARABLES;colores=#D92F2F,#2467B2;maptype=roadmap"/>
                    <pic:cNvPicPr>
                      <a:picLocks noChangeAspect="1" noChangeArrowheads="1"/>
                    </pic:cNvPicPr>
                  </pic:nvPicPr>
                  <pic:blipFill>
                    <a:blip r:embed="rIdTemplateImage37d67a4f4c474809a3c9e37a4aa3242f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3684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/>
    </w:p>
    <w:tbl>
      <w:tblPr>
        <w:tblStyle w:val="TableGrid"/>
        <w:tblLook w:val="04A0" w:firstRow="1" w:lastRow="0" w:firstColumn="1" w:lastColumn="0" w:noHBand="0" w:noVBand="1"/>
        <w:tblDescription w:val=""/>
        <w:tblW w:w="103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one" w:sz="0" w:space="0" w:color="auto"/>
          <w:tr2bl w:val="none" w:sz="0" w:space="0" w:color="auto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500"/>
        <w:gridCol w:w="1400"/>
        <w:gridCol w:w="1200"/>
        <w:gridCol w:w="1450"/>
        <w:gridCol w:w="1866"/>
        <w:gridCol w:w="1800"/>
        <w:gridCol w:w="2100"/>
      </w:tblGrid>
      <w:tr>
        <w:trPr>
          <w:tblHeader/>
          <w:jc w:val="center"/>
        </w:trPr>
        <w:tc>
          <w:tcPr>
            <w:tcW w:type="dxa" w:w="5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ID</w:t>
            </w:r>
          </w:p>
        </w:tc>
        <w:tc>
          <w:tcPr>
            <w:tcW w:type="dxa" w:w="14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Fecha</w:t>
            </w:r>
          </w:p>
        </w:tc>
        <w:tc>
          <w:tcPr>
            <w:tcW w:type="dxa" w:w="12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Distancia aprox.</w:t>
            </w:r>
          </w:p>
        </w:tc>
        <w:tc>
          <w:tcPr>
            <w:tcW w:type="dxa" w:w="14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Año de construcción</w:t>
            </w:r>
          </w:p>
        </w:tc>
        <w:tc>
          <w:tcPr>
            <w:tcW w:type="dxa" w:w="186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Superficie de escritura</w:t>
            </w:r>
          </w:p>
        </w:tc>
        <w:tc>
          <w:tcPr>
            <w:tcW w:type="dxa" w:w="18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Precio</w:t>
            </w:r>
          </w:p>
        </w:tc>
        <w:tc>
          <w:tcPr>
            <w:tcW w:type="dxa" w:w="2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Precio por m²</w:t>
            </w:r>
          </w:p>
        </w:tc>
      </w:tr>
      <w:tr>
        <w:trPr>
          <w:jc w:val="center"/>
        </w:trPr>
        <w:tc>
          <w:tcPr>
            <w:tcW w:type="dxa" w:w="5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</w:t>
            </w:r>
          </w:p>
        </w:tc>
        <w:tc>
          <w:tcPr>
            <w:tcW w:type="dxa" w:w="14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may. 2026</w:t>
            </w:r>
          </w:p>
        </w:tc>
        <w:tc>
          <w:tcPr>
            <w:tcW w:type="dxa" w:w="12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170 m</w:t>
            </w:r>
          </w:p>
        </w:tc>
        <w:tc>
          <w:tcPr>
            <w:tcW w:type="dxa" w:w="14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2003</w:t>
            </w:r>
          </w:p>
        </w:tc>
        <w:tc>
          <w:tcPr>
            <w:tcW w:type="dxa" w:w="186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182,00 m²</w:t>
            </w:r>
          </w:p>
        </w:tc>
        <w:tc>
          <w:tcPr>
            <w:tcW w:type="dxa" w:w="18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720.000 €</w:t>
            </w:r>
          </w:p>
        </w:tc>
        <w:tc>
          <w:tcPr>
            <w:tcW w:type="dxa" w:w="2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3.956 €/m²</w:t>
            </w:r>
          </w:p>
        </w:tc>
      </w:tr>
      <w:tr>
        <w:trPr>
          <w:jc w:val="center"/>
        </w:trPr>
        <w:tc>
          <w:tcPr>
            <w:tcW w:type="dxa" w:w="5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2</w:t>
            </w:r>
          </w:p>
        </w:tc>
        <w:tc>
          <w:tcPr>
            <w:tcW w:type="dxa" w:w="14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abr. 2026</w:t>
            </w:r>
          </w:p>
        </w:tc>
        <w:tc>
          <w:tcPr>
            <w:tcW w:type="dxa" w:w="12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204 m</w:t>
            </w:r>
          </w:p>
        </w:tc>
        <w:tc>
          <w:tcPr>
            <w:tcW w:type="dxa" w:w="14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2004</w:t>
            </w:r>
          </w:p>
        </w:tc>
        <w:tc>
          <w:tcPr>
            <w:tcW w:type="dxa" w:w="186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102,00 m²</w:t>
            </w:r>
          </w:p>
        </w:tc>
        <w:tc>
          <w:tcPr>
            <w:tcW w:type="dxa" w:w="18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580.000 €</w:t>
            </w:r>
          </w:p>
        </w:tc>
        <w:tc>
          <w:tcPr>
            <w:tcW w:type="dxa" w:w="2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5.686 €/m²</w:t>
            </w:r>
          </w:p>
        </w:tc>
      </w:tr>
      <w:tr>
        <w:trPr>
          <w:jc w:val="center"/>
        </w:trPr>
        <w:tc>
          <w:tcPr>
            <w:tcW w:type="dxa" w:w="5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3</w:t>
            </w:r>
          </w:p>
        </w:tc>
        <w:tc>
          <w:tcPr>
            <w:tcW w:type="dxa" w:w="14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jun. 2026</w:t>
            </w:r>
          </w:p>
        </w:tc>
        <w:tc>
          <w:tcPr>
            <w:tcW w:type="dxa" w:w="12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336 m</w:t>
            </w:r>
          </w:p>
        </w:tc>
        <w:tc>
          <w:tcPr>
            <w:tcW w:type="dxa" w:w="14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2004</w:t>
            </w:r>
          </w:p>
        </w:tc>
        <w:tc>
          <w:tcPr>
            <w:tcW w:type="dxa" w:w="186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135,00 m²</w:t>
            </w:r>
          </w:p>
        </w:tc>
        <w:tc>
          <w:tcPr>
            <w:tcW w:type="dxa" w:w="18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845.000 €</w:t>
            </w:r>
          </w:p>
        </w:tc>
        <w:tc>
          <w:tcPr>
            <w:tcW w:type="dxa" w:w="2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6.259 €/m²</w:t>
            </w:r>
          </w:p>
        </w:tc>
      </w:tr>
      <w:tr>
        <w:trPr>
          <w:jc w:val="center"/>
        </w:trPr>
        <w:tc>
          <w:tcPr>
            <w:tcW w:type="dxa" w:w="5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4</w:t>
            </w:r>
          </w:p>
        </w:tc>
        <w:tc>
          <w:tcPr>
            <w:tcW w:type="dxa" w:w="14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jun. 2026</w:t>
            </w:r>
          </w:p>
        </w:tc>
        <w:tc>
          <w:tcPr>
            <w:tcW w:type="dxa" w:w="12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1,17 km</w:t>
            </w:r>
          </w:p>
        </w:tc>
        <w:tc>
          <w:tcPr>
            <w:tcW w:type="dxa" w:w="14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2009</w:t>
            </w:r>
          </w:p>
        </w:tc>
        <w:tc>
          <w:tcPr>
            <w:tcW w:type="dxa" w:w="186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219,00 m²</w:t>
            </w:r>
          </w:p>
        </w:tc>
        <w:tc>
          <w:tcPr>
            <w:tcW w:type="dxa" w:w="18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625.000 €</w:t>
            </w:r>
          </w:p>
        </w:tc>
        <w:tc>
          <w:tcPr>
            <w:tcW w:type="dxa" w:w="2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2.854 €/m²</w:t>
            </w:r>
          </w:p>
        </w:tc>
      </w:tr>
      <w:tr>
        <w:trPr>
          <w:jc w:val="center"/>
        </w:trPr>
        <w:tc>
          <w:tcPr>
            <w:tcW w:type="dxa" w:w="5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5</w:t>
            </w:r>
          </w:p>
        </w:tc>
        <w:tc>
          <w:tcPr>
            <w:tcW w:type="dxa" w:w="14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jul. 2026</w:t>
            </w:r>
          </w:p>
        </w:tc>
        <w:tc>
          <w:tcPr>
            <w:tcW w:type="dxa" w:w="12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1,21 km</w:t>
            </w:r>
          </w:p>
        </w:tc>
        <w:tc>
          <w:tcPr>
            <w:tcW w:type="dxa" w:w="14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2010</w:t>
            </w:r>
          </w:p>
        </w:tc>
        <w:tc>
          <w:tcPr>
            <w:tcW w:type="dxa" w:w="186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99,00 m²</w:t>
            </w:r>
          </w:p>
        </w:tc>
        <w:tc>
          <w:tcPr>
            <w:tcW w:type="dxa" w:w="18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550.000 €</w:t>
            </w:r>
          </w:p>
        </w:tc>
        <w:tc>
          <w:tcPr>
            <w:tcW w:type="dxa" w:w="2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5.556 €/m²</w:t>
            </w:r>
          </w:p>
        </w:tc>
      </w:tr>
      <w:tr>
        <w:trPr>
          <w:jc w:val="center"/>
        </w:trPr>
        <w:tc>
          <w:tcPr>
            <w:tcW w:type="dxa" w:w="5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6</w:t>
            </w:r>
          </w:p>
        </w:tc>
        <w:tc>
          <w:tcPr>
            <w:tcW w:type="dxa" w:w="14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abr. 2026</w:t>
            </w:r>
          </w:p>
        </w:tc>
        <w:tc>
          <w:tcPr>
            <w:tcW w:type="dxa" w:w="12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1,24 km</w:t>
            </w:r>
          </w:p>
        </w:tc>
        <w:tc>
          <w:tcPr>
            <w:tcW w:type="dxa" w:w="14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2010</w:t>
            </w:r>
          </w:p>
        </w:tc>
        <w:tc>
          <w:tcPr>
            <w:tcW w:type="dxa" w:w="186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144,00 m²</w:t>
            </w:r>
          </w:p>
        </w:tc>
        <w:tc>
          <w:tcPr>
            <w:tcW w:type="dxa" w:w="18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459.000 €</w:t>
            </w:r>
          </w:p>
        </w:tc>
        <w:tc>
          <w:tcPr>
            <w:tcW w:type="dxa" w:w="2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3.188 €/m²</w:t>
            </w:r>
          </w:p>
        </w:tc>
      </w:tr>
      <w:tr>
        <w:trPr>
          <w:jc w:val="center"/>
        </w:trPr>
        <w:tc>
          <w:tcPr>
            <w:tcW w:type="dxa" w:w="5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7</w:t>
            </w:r>
          </w:p>
        </w:tc>
        <w:tc>
          <w:tcPr>
            <w:tcW w:type="dxa" w:w="14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jul. 2026</w:t>
            </w:r>
          </w:p>
        </w:tc>
        <w:tc>
          <w:tcPr>
            <w:tcW w:type="dxa" w:w="12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1,66 km</w:t>
            </w:r>
          </w:p>
        </w:tc>
        <w:tc>
          <w:tcPr>
            <w:tcW w:type="dxa" w:w="14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2000</w:t>
            </w:r>
          </w:p>
        </w:tc>
        <w:tc>
          <w:tcPr>
            <w:tcW w:type="dxa" w:w="186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175,00 m²</w:t>
            </w:r>
          </w:p>
        </w:tc>
        <w:tc>
          <w:tcPr>
            <w:tcW w:type="dxa" w:w="18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550.000 €</w:t>
            </w:r>
          </w:p>
        </w:tc>
        <w:tc>
          <w:tcPr>
            <w:tcW w:type="dxa" w:w="2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3.143 €/m²</w:t>
            </w:r>
          </w:p>
        </w:tc>
      </w:tr>
      <w:tr>
        <w:trPr>
          <w:jc w:val="center"/>
        </w:trPr>
        <w:tc>
          <w:tcPr>
            <w:tcW w:type="dxa" w:w="5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8</w:t>
            </w:r>
          </w:p>
        </w:tc>
        <w:tc>
          <w:tcPr>
            <w:tcW w:type="dxa" w:w="14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jul. 2026</w:t>
            </w:r>
          </w:p>
        </w:tc>
        <w:tc>
          <w:tcPr>
            <w:tcW w:type="dxa" w:w="12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1,76 km</w:t>
            </w:r>
          </w:p>
        </w:tc>
        <w:tc>
          <w:tcPr>
            <w:tcW w:type="dxa" w:w="14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1996</w:t>
            </w:r>
          </w:p>
        </w:tc>
        <w:tc>
          <w:tcPr>
            <w:tcW w:type="dxa" w:w="186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113,00 m²</w:t>
            </w:r>
          </w:p>
        </w:tc>
        <w:tc>
          <w:tcPr>
            <w:tcW w:type="dxa" w:w="18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517.000 €</w:t>
            </w:r>
          </w:p>
        </w:tc>
        <w:tc>
          <w:tcPr>
            <w:tcW w:type="dxa" w:w="2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4.575 €/m²</w:t>
            </w:r>
          </w:p>
        </w:tc>
      </w:tr>
      <w:tr>
        <w:trPr>
          <w:jc w:val="center"/>
        </w:trPr>
        <w:tc>
          <w:tcPr>
            <w:tcW w:type="dxa" w:w="5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9</w:t>
            </w:r>
          </w:p>
        </w:tc>
        <w:tc>
          <w:tcPr>
            <w:tcW w:type="dxa" w:w="14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abr. 2026</w:t>
            </w:r>
          </w:p>
        </w:tc>
        <w:tc>
          <w:tcPr>
            <w:tcW w:type="dxa" w:w="12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1,99 km</w:t>
            </w:r>
          </w:p>
        </w:tc>
        <w:tc>
          <w:tcPr>
            <w:tcW w:type="dxa" w:w="14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1997</w:t>
            </w:r>
          </w:p>
        </w:tc>
        <w:tc>
          <w:tcPr>
            <w:tcW w:type="dxa" w:w="186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137,00 m²</w:t>
            </w:r>
          </w:p>
        </w:tc>
        <w:tc>
          <w:tcPr>
            <w:tcW w:type="dxa" w:w="18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571.000 €</w:t>
            </w:r>
          </w:p>
        </w:tc>
        <w:tc>
          <w:tcPr>
            <w:tcW w:type="dxa" w:w="2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4.168 €/m²</w:t>
            </w:r>
          </w:p>
        </w:tc>
      </w:tr>
      <w:tr>
        <w:trPr>
          <w:jc w:val="center"/>
        </w:trPr>
        <w:tc>
          <w:tcPr>
            <w:tcW w:type="dxa" w:w="5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10</w:t>
            </w:r>
          </w:p>
        </w:tc>
        <w:tc>
          <w:tcPr>
            <w:tcW w:type="dxa" w:w="14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jun. 2026</w:t>
            </w:r>
          </w:p>
        </w:tc>
        <w:tc>
          <w:tcPr>
            <w:tcW w:type="dxa" w:w="12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2,13 km</w:t>
            </w:r>
          </w:p>
        </w:tc>
        <w:tc>
          <w:tcPr>
            <w:tcW w:type="dxa" w:w="14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2000</w:t>
            </w:r>
          </w:p>
        </w:tc>
        <w:tc>
          <w:tcPr>
            <w:tcW w:type="dxa" w:w="186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85,00 m²</w:t>
            </w:r>
          </w:p>
        </w:tc>
        <w:tc>
          <w:tcPr>
            <w:tcW w:type="dxa" w:w="18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600.000 €</w:t>
            </w:r>
          </w:p>
        </w:tc>
        <w:tc>
          <w:tcPr>
            <w:tcW w:type="dxa" w:w="210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jc w:val="right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7.059 €/m²</w:t>
            </w:r>
          </w:p>
        </w:tc>
      </w:tr>
    </w:tbl>
    <w:p>
      <w:pPr>
        <w:keepNext/>
        <w:spacing w:after="160" w:before="280"/>
      </w:pPr>
      <w:r>
        <w:rPr>
          <w:rFonts w:ascii="Arial" w:hAnsi="Arial"/>
          <w:b/>
          <w:color w:val="000000"/>
          <w:sz w:val="24"/>
        </w:rPr>
        <w:t>Evolución del mercado, población y renta</w:t>
      </w:r>
    </w:p>
    <w:p>
      <w:pPr>
        <w:spacing w:after="160"/>
        <w:keepNext/>
      </w:pPr>
      <w:r>
        <w:rPr>
          <w:rFonts w:ascii="Arial" w:hAnsi="Arial"/>
          <w:sz w:val="18"/>
        </w:rPr>
        <w:t>Ámbito: Las Rozas de Madrid</w:t>
      </w:r>
    </w:p>
    <w:p>
      <w:pPr>
        <w:spacing w:after="160"/>
        <w:keepNext/>
      </w:pPr>
      <w:r>
        <w:rPr>
          <w:rFonts w:ascii="Arial" w:hAnsi="Arial"/>
          <w:sz w:val="18"/>
        </w:rPr>
        <w:t>Estos indicadores describen el entorno y no intervienen directamente en el cálculo de la valoración. El valor de tasado de vivienda libre es un indicador distinto de los precios de compraventa de los testigos.</w:t>
      </w:r>
    </w:p>
    <w:p>
      <w:pPr>
        <w:keepNext/>
        <w:spacing w:before="320" w:after="60"/>
      </w:pPr>
      <w:r>
        <w:rPr>
          <w:rFonts w:ascii="Arial" w:hAnsi="Arial"/>
          <w:b/>
          <w:color w:val="253D56"/>
          <w:sz w:val="22"/>
        </w:rPr>
        <w:t>Evolución del precio de la vivienda por metro cuadrado</w:t>
      </w:r>
    </w:p>
    <w:p>
      <w:pPr>
        <w:keepNext/>
        <w:spacing w:after="40"/>
      </w:pPr>
      <w:r>
        <w:drawing>
          <wp14:inline xmlns:a="http://schemas.openxmlformats.org/drawingml/2006/main" xmlns:pic="http://schemas.openxmlformats.org/drawingml/2006/picture" distL="0" distR="0" distT="0" distB="0">
            <wp14:extent cx="6550660" cy="2057400"/>
            <wp14:docPr id="109" name="Evolución del precio de la vivienda por metro cuadrado" descr="GRAFICO_PRECIO_M2;colores=#2B5B86,#459E97" title="Evolución del precio de la vivienda por metro cuadrado"/>
            <wp14:cNvGraphicFramePr>
              <a:graphicFrameLocks noChangeAspect="1"/>
            </wp14:cNvGraphicFramePr>
            <a:graphic>
              <a:graphicData uri="http://schemas.openxmlformats.org/drawingml/2006/picture">
                <pic:pic>
                  <pic:nvPicPr>
                    <pic:cNvPr id="109" name="Evolución del precio de la vivienda por metro cuadrado" descr="GRAFICO_PRECIO_M2;colores=#2B5B86,#459E97"/>
                    <pic:cNvPicPr/>
                  </pic:nvPicPr>
                  <pic:blipFill>
                    <a:blip r:embed="rIdExamplePrice"/>
                    <a:stretch>
                      <a:fillRect/>
                    </a:stretch>
                  </pic:blipFill>
                  <pic:spPr>
                    <a:xfrm>
                      <a:off x="0" y="0"/>
                      <a:ext cx="6550660" cy="2057400"/>
                    </a:xfrm>
                    <a:prstGeom prst="rect"/>
                  </pic:spPr>
                </pic:pic>
              </a:graphicData>
            </a:graphic>
          </wp14:inline>
        </w:drawing>
      </w:r>
      <w:r/>
      <w:r/>
    </w:p>
    <w:p>
      <w:pPr>
        <w:spacing w:after="80"/>
      </w:pPr>
      <w:r>
        <w:rPr>
          <w:rFonts w:ascii="Arial" w:hAnsi="Arial"/>
          <w:color w:val="526375"/>
          <w:sz w:val="16"/>
        </w:rPr>
        <w:t>Municipio: Las Rozas de Madrid · Provincia: Madrid · Fuente: MIVAU · Valor de tasado de vivienda libre · Media de los cuatro trimestres de cada año · 2016–2025</w:t>
      </w:r>
    </w:p>
    <w:p>
      <w:pPr>
        <w:keepNext/>
        <w:spacing w:before="140" w:after="60"/>
      </w:pPr>
      <w:r>
        <w:rPr>
          <w:rFonts w:ascii="Arial" w:hAnsi="Arial"/>
          <w:b/>
          <w:color w:val="253D56"/>
          <w:sz w:val="22"/>
        </w:rPr>
        <w:t>Número de compraventas de vivienda</w:t>
      </w:r>
    </w:p>
    <w:p>
      <w:pPr>
        <w:keepNext/>
        <w:spacing w:after="40"/>
      </w:pPr>
      <w:r>
        <w:drawing>
          <wp14:inline xmlns:a="http://schemas.openxmlformats.org/drawingml/2006/main" xmlns:pic="http://schemas.openxmlformats.org/drawingml/2006/picture" distL="0" distR="0" distT="0" distB="0">
            <wp14:extent cx="6550660" cy="2057400"/>
            <wp14:docPr id="105" name="Picture 105" descr="GRAFICO_COMPRAVENTAS;colores=#2B5B86,#459E97" title="Número de compraventas de vivienda"/>
            <wp14:cNvGraphicFramePr>
              <a:graphicFrameLocks noChangeAspect="1"/>
            </wp14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TemplateImageb744e5afc99d4b86a081df57e84d2d7b"/>
                    <a:stretch>
                      <a:fillRect/>
                    </a:stretch>
                  </pic:blipFill>
                  <pic:spPr>
                    <a:xfrm>
                      <a:off x="0" y="0"/>
                      <a:ext cx="6550660" cy="2057400"/>
                    </a:xfrm>
                    <a:prstGeom prst="rect"/>
                  </pic:spPr>
                </pic:pic>
              </a:graphicData>
            </a:graphic>
          </wp14:inline>
        </w:drawing>
      </w:r>
      <w:r/>
    </w:p>
    <w:p>
      <w:pPr>
        <w:spacing w:after="80"/>
      </w:pPr>
      <w:r>
        <w:rPr>
          <w:rFonts w:ascii="Arial" w:hAnsi="Arial"/>
          <w:color w:val="526375"/>
          <w:sz w:val="16"/>
        </w:rPr>
        <w:t>Fuente: MIVAU · Compraventas de vivienda · Años completos · 2016–2025</w:t>
      </w:r>
    </w:p>
    <w:p>
      <w:pPr>
        <w:keepNext/>
        <w:spacing w:before="320" w:after="60"/>
      </w:pPr>
      <w:r>
        <w:rPr>
          <w:rFonts w:ascii="Arial" w:hAnsi="Arial"/>
          <w:b/>
          <w:color w:val="253D56"/>
          <w:sz w:val="22"/>
        </w:rPr>
        <w:t>Alquiler de vivienda por m² al mes</w:t>
      </w:r>
    </w:p>
    <w:p>
      <w:pPr>
        <w:keepNext/>
        <w:spacing w:after="40"/>
      </w:pPr>
      <w:r>
        <w:drawing>
          <wp14:inline xmlns:a="http://schemas.openxmlformats.org/drawingml/2006/main" xmlns:pic="http://schemas.openxmlformats.org/drawingml/2006/picture" distL="0" distR="0" distT="0" distB="0">
            <wp14:extent cx="6550660" cy="2057400"/>
            <wp14:docPr id="106" name="Picture 106" descr="GRAFICO_ALQUILER;colores=#2B5B86" title="Alquiler de vivienda por m² al mes"/>
            <wp14:cNvGraphicFramePr>
              <a:graphicFrameLocks noChangeAspect="1"/>
            </wp14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TemplateImage86017ac162404a338479fad3c1de486d"/>
                    <a:stretch>
                      <a:fillRect/>
                    </a:stretch>
                  </pic:blipFill>
                  <pic:spPr>
                    <a:xfrm>
                      <a:off x="0" y="0"/>
                      <a:ext cx="6550660" cy="2057400"/>
                    </a:xfrm>
                    <a:prstGeom prst="rect"/>
                  </pic:spPr>
                </pic:pic>
              </a:graphicData>
            </a:graphic>
          </wp14:inline>
        </w:drawing>
      </w:r>
      <w:r/>
    </w:p>
    <w:p>
      <w:pPr>
        <w:spacing w:after="80"/>
      </w:pPr>
      <w:r>
        <w:rPr>
          <w:rFonts w:ascii="Arial" w:hAnsi="Arial"/>
          <w:color w:val="526375"/>
          <w:sz w:val="16"/>
        </w:rPr>
        <w:t>Fuente: MIVAU · Alquiler mediano existente de vivienda colectiva · 2015–2024</w:t>
      </w:r>
    </w:p>
    <w:p>
      <w:pPr>
        <w:keepNext/>
        <w:spacing w:before="320" w:after="60"/>
      </w:pPr>
      <w:r>
        <w:rPr>
          <w:rFonts w:ascii="Arial" w:hAnsi="Arial"/>
          <w:b/>
          <w:color w:val="253D56"/>
          <w:sz w:val="22"/>
        </w:rPr>
        <w:t>Evolución de la población</w:t>
      </w:r>
    </w:p>
    <w:p>
      <w:pPr>
        <w:keepNext/>
        <w:spacing w:after="40"/>
      </w:pPr>
      <w:r>
        <w:drawing>
          <wp14:inline xmlns:a="http://schemas.openxmlformats.org/drawingml/2006/main" xmlns:pic="http://schemas.openxmlformats.org/drawingml/2006/picture" distL="0" distR="0" distT="0" distB="0">
            <wp14:extent cx="6550660" cy="2057400"/>
            <wp14:docPr id="107" name="Picture 107" descr="GRAFICO_POBLACION;colores=#2B5B86" title="Evolución de la población"/>
            <wp14:cNvGraphicFramePr>
              <a:graphicFrameLocks noChangeAspect="1"/>
            </wp14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TemplateImage14fffe993bbe435f9a59bf7be41dbf21"/>
                    <a:stretch>
                      <a:fillRect/>
                    </a:stretch>
                  </pic:blipFill>
                  <pic:spPr>
                    <a:xfrm>
                      <a:off x="0" y="0"/>
                      <a:ext cx="6550660" cy="2057400"/>
                    </a:xfrm>
                    <a:prstGeom prst="rect"/>
                  </pic:spPr>
                </pic:pic>
              </a:graphicData>
            </a:graphic>
          </wp14:inline>
        </w:drawing>
      </w:r>
      <w:r/>
    </w:p>
    <w:p>
      <w:pPr>
        <w:spacing w:after="80"/>
      </w:pPr>
      <w:r>
        <w:rPr>
          <w:rFonts w:ascii="Arial" w:hAnsi="Arial"/>
          <w:color w:val="526375"/>
          <w:sz w:val="16"/>
        </w:rPr>
        <w:t>Fuente: INE · Población del padrón · 2016–2025</w:t>
      </w:r>
    </w:p>
    <w:p>
      <w:pPr>
        <w:keepNext/>
        <w:spacing w:before="320" w:after="60"/>
      </w:pPr>
      <w:r>
        <w:rPr>
          <w:rFonts w:ascii="Arial" w:hAnsi="Arial"/>
          <w:b/>
          <w:color w:val="253D56"/>
          <w:sz w:val="22"/>
        </w:rPr>
        <w:t>Renta neta media por hogar</w:t>
      </w:r>
    </w:p>
    <w:p>
      <w:pPr>
        <w:keepNext/>
        <w:spacing w:after="40"/>
      </w:pPr>
      <w:r>
        <w:drawing>
          <wp14:inline xmlns:a="http://schemas.openxmlformats.org/drawingml/2006/main" xmlns:pic="http://schemas.openxmlformats.org/drawingml/2006/picture" distL="0" distR="0" distT="0" distB="0">
            <wp14:extent cx="6550660" cy="2057400"/>
            <wp14:docPr id="108" name="Renta neta media por hogar" descr="GRAFICO_RENTA_HOGAR;colores=#2B5B86" title="Renta neta media por hogar"/>
            <wp14:cNvGraphicFramePr>
              <a:graphicFrameLocks noChangeAspect="1"/>
            </wp14:cNvGraphicFramePr>
            <a:graphic>
              <a:graphicData uri="http://schemas.openxmlformats.org/drawingml/2006/picture">
                <pic:pic>
                  <pic:nvPicPr>
                    <pic:cNvPr id="108" name="Renta neta media por hogar" descr="GRAFICO_RENTA_HOGAR;colores=#2B5B86"/>
                    <pic:cNvPicPr/>
                  </pic:nvPicPr>
                  <pic:blipFill>
                    <a:blip r:embed="rIdTemplateImage4688320f90774b0ba13f0d3b7a538271"/>
                    <a:stretch>
                      <a:fillRect/>
                    </a:stretch>
                  </pic:blipFill>
                  <pic:spPr>
                    <a:xfrm>
                      <a:off x="0" y="0"/>
                      <a:ext cx="6550660" cy="2057400"/>
                    </a:xfrm>
                    <a:prstGeom prst="rect"/>
                  </pic:spPr>
                </pic:pic>
              </a:graphicData>
            </a:graphic>
          </wp14:inline>
        </w:drawing>
      </w:r>
      <w:r/>
    </w:p>
    <w:p>
      <w:pPr>
        <w:spacing w:after="80"/>
      </w:pPr>
      <w:r>
        <w:rPr>
          <w:rFonts w:ascii="Arial" w:hAnsi="Arial"/>
          <w:color w:val="526375"/>
          <w:sz w:val="16"/>
        </w:rPr>
        <w:t>Municipio: Las Rozas de Madrid (sin histórico distrital suficiente) · Fuente: INE · Atlas de distribución de renta de los hogares · Renta neta media por hogar · 2015–2023</w:t>
      </w:r>
    </w:p>
    <w:p>
      <w:pPr>
        <w:keepNext/>
        <w:spacing w:after="40" w:before="280"/>
      </w:pPr>
      <w:r>
        <w:rPr>
          <w:rFonts w:ascii="Arial" w:hAnsi="Arial"/>
          <w:b/>
          <w:color w:val="000000"/>
          <w:sz w:val="22"/>
        </w:rPr>
        <w:t>Método y fuentes</w:t>
      </w:r>
    </w:p>
    <w:p>
      <w:pPr>
        <w:keepNext/>
        <w:spacing w:before="100" w:after="40"/>
      </w:pPr>
      <w:r>
        <w:rPr>
          <w:rFonts w:ascii="Arial" w:hAnsi="Arial"/>
          <w:b w:val="1"/>
          <w:color w:val="000000"/>
          <w:sz w:val="18"/>
        </w:rPr>
        <w:t>Cálculo de la valoración</w:t>
      </w:r>
    </w:p>
    <w:p>
      <w:pPr>
        <w:spacing w:after="40"/>
      </w:pPr>
      <w:r>
        <w:rPr>
          <w:rFonts w:ascii="Arial" w:hAnsi="Arial"/>
          <w:b w:val="0"/>
          <w:color w:val="000000"/>
          <w:sz w:val="16"/>
        </w:rPr>
        <w:t>El precio medio es la media aritmética de los precios de los testigos seleccionados. Para obtener el precio medio por m², se divide el precio de cada testigo entre su superficie de escritura y se calcula la media de esos cocientes.</w:t>
      </w:r>
    </w:p>
    <w:p>
      <w:pPr>
        <w:spacing w:after="40"/>
      </w:pPr>
      <w:r>
        <w:rPr>
          <w:rFonts w:ascii="Arial" w:hAnsi="Arial"/>
          <w:b w:val="0"/>
          <w:color w:val="000000"/>
          <w:sz w:val="16"/>
        </w:rPr>
        <w:t>El valor orientativo se obtiene multiplicando el precio medio por m² por la superficie catastral adoptada del inmueble. Se muestra redondeado a miles de euros. No se aplican ajustes por estado de conservación, planta, anejos ni fecha de venta.</w:t>
      </w:r>
    </w:p>
    <w:p>
      <w:pPr>
        <w:keepNext/>
        <w:spacing w:before="100" w:after="40"/>
      </w:pPr>
      <w:r>
        <w:rPr>
          <w:rFonts w:ascii="Arial" w:hAnsi="Arial"/>
          <w:b w:val="1"/>
          <w:color w:val="000000"/>
          <w:sz w:val="18"/>
        </w:rPr>
        <w:t>Fuentes</w:t>
      </w:r>
    </w:p>
    <w:p>
      <w:pPr>
        <w:spacing w:after="40"/>
      </w:pPr>
      <w:r>
        <w:rPr>
          <w:rFonts w:ascii="Arial" w:hAnsi="Arial"/>
          <w:b w:val="0"/>
          <w:color w:val="000000"/>
          <w:sz w:val="16"/>
        </w:rPr>
        <w:t>Datos del inmueble: Dirección General del Catastro. Testigos de compraventas: Consejo General del Notariado. Sus posiciones están desplazadas 50 m de su ubicación original.</w:t>
      </w:r>
    </w:p>
    <w:p>
      <w:pPr>
        <w:spacing w:after="40"/>
      </w:pPr>
      <w:r>
        <w:rPr>
          <w:rFonts w:ascii="Arial" w:hAnsi="Arial"/>
          <w:b w:val="0"/>
          <w:color w:val="000000"/>
          <w:sz w:val="16"/>
        </w:rPr>
        <w:t>Imágenes: Google Maps, Google Street View y Catastro.</w:t>
      </w:r>
    </w:p>
    <w:p>
      <w:pPr>
        <w:spacing w:after="40"/>
      </w:pPr>
      <w:r>
        <w:rPr>
          <w:rFonts w:ascii="Arial" w:hAnsi="Arial"/>
          <w:b w:val="0"/>
          <w:color w:val="000000"/>
          <w:sz w:val="16"/>
        </w:rPr>
        <w:t>Compraventas y alquiler: MIVAU. Las compraventas se muestran por años completos. El alquiler es la mediana existente por m² al mes para vivienda colectiva o unifamiliar, según el inmueble.</w:t>
      </w:r>
    </w:p>
    <w:p>
      <w:pPr>
        <w:spacing w:after="40"/>
      </w:pPr>
      <w:r>
        <w:rPr>
          <w:rFonts w:ascii="Arial" w:hAnsi="Arial"/>
          <w:b w:val="0"/>
          <w:color w:val="000000"/>
          <w:sz w:val="16"/>
        </w:rPr>
        <w:t>Población y renta: INE. Se utilizan la población del padrón y la renta neta media por hogar del Atlas de distribución de renta de los hogares. El ámbito territorial y el periodo disponible figuran al pie de cada gráfico.</w:t>
      </w:r>
    </w:p>
    <w:p>
      <w:pPr>
        <w:keepNext/>
        <w:spacing w:before="100" w:after="40"/>
      </w:pPr>
      <w:r>
        <w:rPr>
          <w:rFonts w:ascii="Arial" w:hAnsi="Arial"/>
          <w:b w:val="1"/>
          <w:color w:val="000000"/>
          <w:sz w:val="18"/>
        </w:rPr>
        <w:t>Alcance y limitaciones</w:t>
      </w:r>
    </w:p>
    <w:p>
      <w:pPr>
        <w:spacing w:after="40"/>
      </w:pPr>
      <w:r>
        <w:rPr>
          <w:rFonts w:ascii="Arial" w:hAnsi="Arial"/>
          <w:b w:val="0"/>
          <w:color w:val="000000"/>
          <w:sz w:val="16"/>
        </w:rPr>
        <w:t>Esta valoración es una estimación orientativa basada en los datos disponibles en la fecha del informe. Estos pueden contener errores, omisiones o información desactualizada.</w:t>
      </w:r>
    </w:p>
    <w:p>
      <w:pPr>
        <w:spacing w:after="40"/>
      </w:pPr>
      <w:r>
        <w:rPr>
          <w:rFonts w:ascii="Arial" w:hAnsi="Arial"/>
          <w:b w:val="0"/>
          <w:color w:val="000000"/>
          <w:sz w:val="16"/>
        </w:rPr>
        <w:t>Se realiza sin visita ni comprobación presencial. No se verifican el estado de conservación, las superficies ni la situación urbanística o jurídica del inmueble. Estas circunstancias y los cambios del mercado pueden afectar al resultado. No constituye una tasación oficial ni sustituye una valoración profesional con inspección del inmueble.</w:t>
      </w:r>
    </w:p>
    <w:sectPr>
      <w:headerReference w:type="default" r:id="rId19"/>
      <w:footerReference w:type="default" r:id="rId20"/>
      <w:type w:val="nextPage"/>
      <w:pgSz w:w="11906" w:h="16838"/>
      <w:pgMar w:top="1361" w:right="795" w:bottom="1134" w:left="795" w:footer="312" w:header="420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pgBorders>
      <w:pgNumType w:fmt="decimal"/>
      <w:cols w:num="1" w:equalWidth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00000000" w:csb1="1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E0002AFF" w:csb1="C0007841"/>
  </w:font>
  <w:font w:name="Cambria">
    <w:panose1 w:val="02040503050406030204"/>
    <w:charset w:val="00"/>
    <w:family w:val="Auto"/>
    <w:pitch w:val="variable"/>
    <w:sig w:usb0="E00002FF" w:usb1="400004FF" w:usb2="00000000" w:usb3="00000000" w:csb0="E00002FF" w:csb1="400004FF"/>
  </w:font>
  <w:font w:name="ＭＳ 明朝">
    <w:panose1 w:val="00000000000000000000"/>
    <w:charset w:val="80"/>
    <w:family w:val="Auto"/>
    <w:pitch w:val="fixed"/>
    <w:sig w:usb0="00000001" w:usb1="08070000" w:usb2="00000010" w:usb3="00000000" w:csb0="00000001" w:csb1="08070000"/>
  </w:font>
  <w:font w:name="Calibri">
    <w:panose1 w:val="020F0502020204030204"/>
    <w:charset w:val="00"/>
    <w:family w:val="Auto"/>
    <w:pitch w:val="variable"/>
    <w:sig w:usb0="E10002FF" w:usb1="4000ACFF" w:usb2="00000009" w:usb3="00000000" w:csb0="E10002FF" w:csb1="4000ACFF"/>
  </w:font>
  <w:font w:name="ＭＳ ゴシック">
    <w:panose1 w:val="00000000000000000000"/>
    <w:charset w:val="80"/>
    <w:family w:val="Auto"/>
    <w:pitch w:val="fixed"/>
    <w:sig w:usb0="00000001" w:usb1="08070000" w:usb2="00000010" w:usb3="00000000" w:csb0="00000001" w:csb1="0807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E0002AFF" w:csb1="C0007843"/>
  </w:font>
</w:fonts>
</file>

<file path=word/footer20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tbl>
    <w:tblPr>
      <w:tblLook w:val="04A0" w:firstRow="1" w:lastRow="0" w:firstColumn="1" w:lastColumn="0" w:noHBand="0" w:noVBand="1"/>
      <w:tblDescription w:val=""/>
      <w:tblW w:w="10316" w:type="dxa"/>
      <w:jc w:val="left"/>
      <w:tblBorders>
        <w:top w:val="nil"/>
        <w:left w:val="nil"/>
        <w:bottom w:val="nil"/>
        <w:right w:val="nil"/>
        <w:insideH w:val="nil"/>
        <w:insideV w:val="nil"/>
        <w:tl2br w:val="none" w:sz="0" w:space="0" w:color="auto"/>
        <w:tr2bl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717"/>
      <w:gridCol w:w="3599"/>
    </w:tblGrid>
    <w:tr>
      <w:trPr/>
      <w:tc>
        <w:tcPr>
          <w:tcW w:type="dxa" w:w="6717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  <w:tl2br w:val="none" w:sz="0" w:space="0" w:color="auto"/>
            <w:tr2bl w:val="none" w:sz="0" w:space="0" w:color="auto"/>
          </w:tcBorders>
          <w:tcMar>
            <w:top w:w="80" w:type="dxa"/>
            <w:left w:w="0" w:type="dxa"/>
            <w:bottom w:w="40" w:type="dxa"/>
            <w:right w:w="0" w:type="dxa"/>
          </w:tcMar>
          <w:vAlign w:val="center"/>
        </w:tcPr>
        <w:p>
          <w:pPr>
            <w:spacing w:after="0"/>
            <w:jc w:val="left"/>
            <w:rPr/>
          </w:pPr>
          <w:r>
            <w:rPr>
              <w:rFonts w:ascii="Arial" w:eastAsia="Arial" w:hAnsi="Arial" w:cs="Arial"/>
              <w:color w:val="243771"/>
              <w:sz w:val="16"/>
            </w:rPr>
            <w:t xml:space="preserve">Documento creado el 13 de octubre de 2026</w:t>
          </w:r>
        </w:p>
      </w:tc>
      <w:tc>
        <w:tcPr>
          <w:tcW w:type="dxa" w:w="3599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  <w:tl2br w:val="none" w:sz="0" w:space="0" w:color="auto"/>
            <w:tr2bl w:val="none" w:sz="0" w:space="0" w:color="auto"/>
          </w:tcBorders>
          <w:tcMar>
            <w:top w:w="80" w:type="dxa"/>
            <w:left w:w="0" w:type="dxa"/>
            <w:bottom w:w="40" w:type="dxa"/>
            <w:right w:w="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/>
              <w:color w:val="243771"/>
              <w:sz w:val="16"/>
            </w:rPr>
            <w:t xml:space="preserve">Página </w:t>
          </w:r>
          <w:r>
            <w:rPr>
              <w:rFonts w:ascii="Arial" w:hAnsi="Arial"/>
              <w:color w:val="243771"/>
              <w:sz w:val="16"/>
            </w:rPr>
            <w:fldChar w:fldCharType="begin"/>
            <w:instrText xml:space="preserve"> PAGE </w:instrText>
            <w:fldChar w:fldCharType="separate"/>
            <w:t>1</w:t>
            <w:fldChar w:fldCharType="end"/>
          </w:r>
          <w:r>
            <w:rPr>
              <w:rFonts w:ascii="Arial" w:hAnsi="Arial"/>
              <w:color w:val="243771"/>
              <w:sz w:val="16"/>
            </w:rPr>
            <w:t xml:space="preserve"> de </w:t>
          </w:r>
          <w:r>
            <w:rPr>
              <w:rFonts w:ascii="Arial" w:hAnsi="Arial"/>
              <w:color w:val="243771"/>
              <w:sz w:val="16"/>
            </w:rPr>
            <w:fldChar w:fldCharType="begin"/>
            <w:instrText xml:space="preserve"> NUMPAGES </w:instrText>
            <w:fldChar w:fldCharType="separate"/>
            <w:t>1</w:t>
            <w:fldChar w:fldCharType="end"/>
          </w:r>
        </w:p>
      </w:tc>
    </w:tr>
  </w:tbl>
</w:ftr>
</file>

<file path=word/header19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p>
    <w:pPr>
      <w:spacing w:after="80"/>
      <w:jc w:val="center"/>
      <w:rPr/>
    </w:pPr>
    <w:r>
      <w:rPr/>
      <w:drawing>
        <wp:inline>
          <wp:extent cx="1152000" cy="266045"/>
          <wp:docPr id="10" name="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2"/>
                  <a:stretch>
                    <a:fillRect/>
                  </a:stretch>
                </pic:blipFill>
                <pic:spPr bwMode="auto">
                  <a:xfrm>
                    <a:off x="0" y="0"/>
                    <a:ext cx="1152000" cy="266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pPr>
        <w:spacing/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pPr>
        <w:spacing/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pPr>
        <w:spacing/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pPr>
        <w:spacing/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pPr>
        <w:spacing/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pPr>
        <w:spacing/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pPr>
        <w:spacing/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pPr>
        <w:spacing/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pPr>
        <w:spacing/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pPr>
        <w:spacing/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pPr>
        <w:spacing/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pPr>
        <w:spacing/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pPr>
        <w:spacing/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pPr>
        <w:spacing/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pPr>
        <w:spacing/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decimal"/>
      <w:suff w:val="tab"/>
      <w:lvlText w:val="%1."/>
      <w:pPr>
        <w:tabs>
          <w:tab w:pos="1800" w:val="num"/>
        </w:tabs>
        <w:spacing/>
        <w:ind w:left="1800" w:hanging="360"/>
      </w:pPr>
      <w:rPr/>
    </w:lvl>
  </w:abstractNum>
  <w:abstractNum w:abstractNumId="3">
    <w:multiLevelType w:val="singleLevel"/>
    <w:lvl w:ilvl="0">
      <w:start w:val="1"/>
      <w:numFmt w:val="decimal"/>
      <w:suff w:val="tab"/>
      <w:lvlText w:val="%1."/>
      <w:pPr>
        <w:tabs>
          <w:tab w:pos="1440" w:val="num"/>
        </w:tabs>
        <w:spacing/>
        <w:ind w:left="1440" w:hanging="360"/>
      </w:pPr>
      <w:rPr/>
    </w:lvl>
  </w:abstractNum>
  <w:abstractNum w:abstractNumId="4">
    <w:multiLevelType w:val="singleLevel"/>
    <w:lvl w:ilvl="0">
      <w:start w:val="1"/>
      <w:numFmt w:val="decimal"/>
      <w:pStyle w:val="ListNumber3"/>
      <w:suff w:val="tab"/>
      <w:lvlText w:val="%1."/>
      <w:pPr>
        <w:tabs>
          <w:tab w:pos="1080" w:val="num"/>
        </w:tabs>
        <w:spacing/>
        <w:ind w:left="1080" w:hanging="360"/>
      </w:pPr>
      <w:rPr/>
    </w:lvl>
  </w:abstractNum>
  <w:abstractNum w:abstractNumId="5">
    <w:multiLevelType w:val="singleLevel"/>
    <w:lvl w:ilvl="0">
      <w:start w:val="1"/>
      <w:numFmt w:val="decimal"/>
      <w:pStyle w:val="ListNumber2"/>
      <w:suff w:val="tab"/>
      <w:lvlText w:val="%1."/>
      <w:pPr>
        <w:tabs>
          <w:tab w:pos="720" w:val="num"/>
        </w:tabs>
        <w:spacing/>
        <w:ind w:left="720" w:hanging="360"/>
      </w:pPr>
      <w:rPr/>
    </w:lvl>
  </w:abstractNum>
  <w:abstractNum w:abstractNumId="6">
    <w:multiLevelType w:val="singleLevel"/>
    <w:lvl w:ilvl="0">
      <w:start w:val="1"/>
      <w:numFmt w:val="bullet"/>
      <w:suff w:val="tab"/>
      <w:lvlText w:val=""/>
      <w:pPr>
        <w:tabs>
          <w:tab w:pos="1440" w:val="num"/>
        </w:tabs>
        <w:spacing/>
        <w:ind w:left="1440" w:hanging="360"/>
      </w:pPr>
      <w:rPr>
        <w:rFonts w:ascii="Symbol" w:eastAsia="Symbol" w:hAnsi="Symbol" w:cs="Symbol" w:hint="default"/>
      </w:rPr>
    </w:lvl>
  </w:abstractNum>
  <w:abstractNum w:abstractNumId="7">
    <w:multiLevelType w:val="singleLevel"/>
    <w:lvl w:ilvl="0">
      <w:start w:val="1"/>
      <w:numFmt w:val="bullet"/>
      <w:pStyle w:val="ListBullet3"/>
      <w:suff w:val="tab"/>
      <w:lvlText w:val=""/>
      <w:pPr>
        <w:tabs>
          <w:tab w:pos="1080" w:val="num"/>
        </w:tabs>
        <w:spacing/>
        <w:ind w:left="1080" w:hanging="360"/>
      </w:pPr>
      <w:rPr>
        <w:rFonts w:ascii="Symbol" w:eastAsia="Symbol" w:hAnsi="Symbol" w:cs="Symbol" w:hint="default"/>
      </w:rPr>
    </w:lvl>
  </w:abstractNum>
  <w:abstractNum w:abstractNumId="8">
    <w:multiLevelType w:val="singleLevel"/>
    <w:lvl w:ilvl="0">
      <w:start w:val="1"/>
      <w:numFmt w:val="bullet"/>
      <w:pStyle w:val="ListBullet2"/>
      <w:suff w:val="tab"/>
      <w:lvlText w:val=""/>
      <w:pPr>
        <w:tabs>
          <w:tab w:pos="720" w:val="num"/>
        </w:tabs>
        <w:spacing/>
        <w:ind w:left="720" w:hanging="360"/>
      </w:pPr>
      <w:rPr>
        <w:rFonts w:ascii="Symbol" w:eastAsia="Symbol" w:hAnsi="Symbol" w:cs="Symbol" w:hint="default"/>
      </w:rPr>
    </w:lvl>
  </w:abstractNum>
  <w:abstractNum w:abstractNumId="9">
    <w:multiLevelType w:val="singleLevel"/>
    <w:lvl w:ilvl="0">
      <w:start w:val="1"/>
      <w:numFmt w:val="decimal"/>
      <w:pStyle w:val="ListNumber"/>
      <w:suff w:val="tab"/>
      <w:lvlText w:val="%1."/>
      <w:pPr>
        <w:tabs>
          <w:tab w:pos="360" w:val="num"/>
        </w:tabs>
        <w:spacing/>
        <w:ind w:left="360" w:hanging="360"/>
      </w:pPr>
      <w:rPr/>
    </w:lvl>
  </w:abstractNum>
  <w:abstractNum w:abstractNumId="10">
    <w:multiLevelType w:val="singleLevel"/>
    <w:lvl w:ilvl="0">
      <w:start w:val="1"/>
      <w:numFmt w:val="bullet"/>
      <w:pStyle w:val="ListBullet"/>
      <w:suff w:val="tab"/>
      <w:lvlText w:val=""/>
      <w:pPr>
        <w:tabs>
          <w:tab w:pos="360" w:val="num"/>
        </w:tabs>
        <w:spacing/>
        <w:ind w:left="360" w:hanging="360"/>
      </w:pPr>
      <w:rPr>
        <w:rFonts w:ascii="Symbol" w:eastAsia="Symbol" w:hAnsi="Symbol" w:cs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percent="100"/>
  <w:proofState w:grammar="clean"/>
  <w:defaultTabStop w:val="720"/>
  <w:characterSpacingControl w:val="doNotCompress"/>
  <w:footnotePr>
    <w:pos w:val="pageBottom"/>
    <w:numFmt w:val="decimal"/>
    <w:numRestart w:val="continuous"/>
    <w:numStart w:val="1"/>
  </w:footnotePr>
  <w:endnotePr>
    <w:pos w:val="docEnd"/>
    <w:numFmt w:val="lowerRoman"/>
    <w:numRestart w:val="continuous"/>
    <w:numStart w:val="1"/>
  </w:endnotePr>
  <w:savePreviewPicture xmlns:w="http://schemas.openxmlformats.org/wordprocessingml/2006/main"/>
  <w:doNotAutoCompressPictures xmlns:w="http://schemas.openxmlformats.org/wordprocessingml/2006/main"/>
  <w:decimalSymbol xmlns:w="http://schemas.openxmlformats.org/wordprocessingml/2006/main" w:val="."/>
  <w:listSeparator xmlns:w="http://schemas.openxmlformats.org/wordprocessingml/2006/main" w:val=","/>
  <w14:docId xmlns:w14="http://schemas.microsoft.com/office/word/2010/wordml" w14:val="24062061"/>
  <w14:defaultImageDpi xmlns:w14="http://schemas.microsoft.com/office/word/2010/wordml" w14:val="300"/>
  <w:updateFields xmlns:w="http://schemas.openxmlformats.org/wordprocessingml/2006/main" w:val="true"/>
  <w:compat>
    <w:useFELayout xmlns:w="http://schemas.openxmlformats.org/wordprocessingml/2006/main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ar-S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eastAsiaTheme="minorEastAsia" w:hAnsiTheme="minorHAnsi" w:cstheme="minorBidi" w:ascii="Cambri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xmlns:w="http://schemas.openxmlformats.org/wordprocessingml/2006/main"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default="1" w:styleId="NoList">
    <w:name w:val="No List"/>
    <w:uiPriority w:val="99"/>
    <w:semiHidden/>
    <w:unhideWhenUsed/>
  </w:style>
  <w:style w:type="paragraph" w:styleId="Normal" w:default="1">
    <w:name w:val="Normal"/>
    <w:next w:val="Normal"/>
    <w:qFormat/>
    <w:pPr>
      <w:spacing/>
    </w:pPr>
    <w:rPr>
      <w:rFonts w:ascii="Arial" w:eastAsia="Arial" w:hAnsi="Arial" w:cs="Arial"/>
      <w:sz w:val="20"/>
    </w:rPr>
  </w:style>
  <w:style w:type="paragraph" w:styleId="Header">
    <w:name w:val="Header"/>
    <w:basedOn w:val="Normal"/>
    <w:link w:val="HeaderChar"/>
    <w:unhideWhenUsed/>
    <w:pPr>
      <w:tabs>
        <w:tab w:pos="4680" w:val="center"/>
        <w:tab w:pos="9360" w:val="right"/>
      </w:tabs>
      <w:spacing w:after="0" w:line="240" w:lineRule="auto"/>
    </w:pPr>
    <w:rPr/>
  </w:style>
  <w:style w:type="character" w:styleId="HeaderChar" w:customStyle="1">
    <w:name w:val="Header Char"/>
    <w:basedOn w:val="DefaultParagraphFont"/>
    <w:link w:val="Header"/>
    <w:rPr/>
  </w:style>
  <w:style w:type="paragraph" w:styleId="Footer">
    <w:name w:val="Footer"/>
    <w:basedOn w:val="Normal"/>
    <w:link w:val="FooterChar"/>
    <w:unhideWhenUsed/>
    <w:pPr>
      <w:tabs>
        <w:tab w:pos="4680" w:val="center"/>
        <w:tab w:pos="9360" w:val="right"/>
      </w:tabs>
      <w:spacing w:after="0" w:line="240" w:lineRule="auto"/>
    </w:pPr>
    <w:rPr/>
  </w:style>
  <w:style w:type="character" w:styleId="FooterChar" w:customStyle="1">
    <w:name w:val="Footer Char"/>
    <w:basedOn w:val="DefaultParagraphFont"/>
    <w:link w:val="Footer"/>
    <w:rPr/>
  </w:style>
  <w:style w:type="paragraph" w:styleId="Heading1">
    <w:name w:val="Heading 1"/>
    <w:basedOn w:val="Normal"/>
    <w:link w:val="Heading1Char"/>
    <w:next w:val="Normal"/>
    <w:qFormat/>
    <w:pPr>
      <w:keepNext/>
      <w:keepLines/>
      <w:spacing w:before="480" w:after="0"/>
      <w:outlineLvl w:val="0"/>
    </w:pPr>
    <w:rPr>
      <w:rFonts w:eastAsiaTheme="majorEastAsia" w:hAnsiTheme="majorHAnsi" w:cstheme="majorBidi" w:ascii="Calibri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next w:val="Normal"/>
    <w:unhideWhenUsed/>
    <w:qFormat/>
    <w:pPr>
      <w:keepNext/>
      <w:keepLines/>
      <w:spacing w:before="200" w:after="0"/>
      <w:outlineLvl w:val="1"/>
    </w:pPr>
    <w:rPr>
      <w:rFonts w:eastAsiaTheme="majorEastAsia" w:hAnsiTheme="majorHAnsi" w:cstheme="majorBidi" w:ascii="Calibri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next w:val="Normal"/>
    <w:unhideWhenUsed/>
    <w:qFormat/>
    <w:pPr>
      <w:keepNext/>
      <w:keepLines/>
      <w:spacing w:before="200" w:after="0"/>
      <w:outlineLvl w:val="2"/>
    </w:pPr>
    <w:rPr>
      <w:rFonts w:eastAsiaTheme="majorEastAsia" w:hAnsiTheme="majorHAnsi" w:cstheme="majorBidi" w:ascii="Calibri"/>
      <w:b/>
      <w:bCs/>
      <w:color w:val="4F81BD"/>
    </w:rPr>
  </w:style>
  <w:style w:type="paragraph" w:styleId="Heading4">
    <w:name w:val="Heading 4"/>
    <w:basedOn w:val="Normal"/>
    <w:link w:val="Heading4Char"/>
    <w:next w:val="Normal"/>
    <w:semiHidden/>
    <w:unhideWhenUsed/>
    <w:qFormat/>
    <w:pPr>
      <w:keepNext/>
      <w:keepLines/>
      <w:spacing w:before="200" w:after="0"/>
      <w:outlineLvl w:val="3"/>
    </w:pPr>
    <w:rPr>
      <w:rFonts w:eastAsiaTheme="majorEastAsia" w:hAnsiTheme="majorHAnsi" w:cstheme="majorBidi" w:ascii="Calibri"/>
      <w:b/>
      <w:bCs/>
      <w:i/>
      <w:iCs/>
      <w:color w:val="4F81BD"/>
    </w:rPr>
  </w:style>
  <w:style w:type="paragraph" w:styleId="Heading5">
    <w:name w:val="Heading 5"/>
    <w:basedOn w:val="Normal"/>
    <w:link w:val="Heading5Char"/>
    <w:next w:val="Normal"/>
    <w:semiHidden/>
    <w:unhideWhenUsed/>
    <w:qFormat/>
    <w:pPr>
      <w:keepNext/>
      <w:keepLines/>
      <w:spacing w:before="200" w:after="0"/>
      <w:outlineLvl w:val="4"/>
    </w:pPr>
    <w:rPr>
      <w:rFonts w:eastAsiaTheme="majorEastAsia" w:hAnsiTheme="majorHAnsi" w:cstheme="majorBidi" w:ascii="Calibri"/>
      <w:color w:val="243F60"/>
    </w:rPr>
  </w:style>
  <w:style w:type="paragraph" w:styleId="Heading6">
    <w:name w:val="Heading 6"/>
    <w:basedOn w:val="Normal"/>
    <w:link w:val="Heading6Char"/>
    <w:next w:val="Normal"/>
    <w:semiHidden/>
    <w:unhideWhenUsed/>
    <w:qFormat/>
    <w:pPr>
      <w:keepNext/>
      <w:keepLines/>
      <w:spacing w:before="200" w:after="0"/>
      <w:outlineLvl w:val="5"/>
    </w:pPr>
    <w:rPr>
      <w:rFonts w:eastAsiaTheme="majorEastAsia" w:hAnsiTheme="majorHAnsi" w:cstheme="majorBidi" w:ascii="Calibri"/>
      <w:i/>
      <w:iCs/>
      <w:color w:val="243F60"/>
    </w:rPr>
  </w:style>
  <w:style w:type="paragraph" w:styleId="Heading7">
    <w:name w:val="Heading 7"/>
    <w:basedOn w:val="Normal"/>
    <w:link w:val="Heading7Char"/>
    <w:next w:val="Normal"/>
    <w:semiHidden/>
    <w:unhideWhenUsed/>
    <w:qFormat/>
    <w:pPr>
      <w:keepNext/>
      <w:keepLines/>
      <w:spacing w:before="200" w:after="0"/>
      <w:outlineLvl w:val="6"/>
    </w:pPr>
    <w:rPr>
      <w:rFonts w:eastAsiaTheme="majorEastAsia" w:hAnsiTheme="majorHAnsi" w:cstheme="majorBidi" w:ascii="Calibri"/>
      <w:i/>
      <w:iCs/>
      <w:color w:val="404040"/>
    </w:rPr>
  </w:style>
  <w:style w:type="paragraph" w:styleId="Heading8">
    <w:name w:val="Heading 8"/>
    <w:basedOn w:val="Normal"/>
    <w:link w:val="Heading8Char"/>
    <w:next w:val="Normal"/>
    <w:semiHidden/>
    <w:unhideWhenUsed/>
    <w:qFormat/>
    <w:pPr>
      <w:keepNext/>
      <w:keepLines/>
      <w:spacing w:before="200" w:after="0"/>
      <w:outlineLvl w:val="7"/>
    </w:pPr>
    <w:rPr>
      <w:rFonts w:eastAsiaTheme="majorEastAsia" w:hAnsiTheme="majorHAnsi" w:cstheme="majorBidi" w:ascii="Calibri"/>
      <w:color w:val="4F81BD"/>
      <w:sz w:val="20"/>
      <w:szCs w:val="20"/>
    </w:rPr>
  </w:style>
  <w:style w:type="paragraph" w:styleId="Heading9">
    <w:name w:val="Heading 9"/>
    <w:basedOn w:val="Normal"/>
    <w:link w:val="Heading9Char"/>
    <w:next w:val="Normal"/>
    <w:semiHidden/>
    <w:unhideWhenUsed/>
    <w:qFormat/>
    <w:pPr>
      <w:keepNext/>
      <w:keepLines/>
      <w:spacing w:before="200" w:after="0"/>
      <w:outlineLvl w:val="8"/>
    </w:pPr>
    <w:rPr>
      <w:rFonts w:eastAsiaTheme="majorEastAsia" w:hAnsiTheme="majorHAnsi" w:cstheme="majorBidi" w:ascii="Calibri"/>
      <w:i/>
      <w:iCs/>
      <w:color w:val="404040"/>
      <w:sz w:val="20"/>
      <w:szCs w:val="20"/>
    </w:rPr>
  </w:style>
  <w:style w:type="character" w:styleId="DefaultParagraphFont" w:default="1">
    <w:name w:val="Default Paragraph Font"/>
    <w:semiHidden/>
    <w:unhideWhenUsed/>
    <w:rPr/>
  </w:style>
  <w:style w:type="table" w:styleId="TableNormal" w:default="1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pPr>
      <w:spacing w:after="0" w:line="240" w:lineRule="auto"/>
    </w:pPr>
    <w:rPr/>
  </w:style>
  <w:style w:type="character" w:styleId="Heading1Char" w:customStyle="1">
    <w:name w:val="Heading 1 Char"/>
    <w:basedOn w:val="DefaultParagraphFont"/>
    <w:link w:val="Heading1"/>
    <w:rPr>
      <w:rFonts w:eastAsiaTheme="majorEastAsia" w:hAnsiTheme="majorHAnsi" w:cstheme="majorBidi" w:ascii="Calibri"/>
      <w:b/>
      <w:bCs/>
      <w:color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rPr>
      <w:rFonts w:eastAsiaTheme="majorEastAsia" w:hAnsiTheme="majorHAnsi" w:cstheme="majorBidi" w:ascii="Calibri"/>
      <w:b/>
      <w:bCs/>
      <w:color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rPr>
      <w:rFonts w:eastAsiaTheme="majorEastAsia" w:hAnsiTheme="majorHAnsi" w:cstheme="majorBidi" w:ascii="Calibri"/>
      <w:b/>
      <w:bCs/>
      <w:color w:val="4F81BD"/>
    </w:rPr>
  </w:style>
  <w:style w:type="paragraph" w:styleId="Title">
    <w:name w:val="Title"/>
    <w:basedOn w:val="Normal"/>
    <w:link w:val="TitleChar"/>
    <w:next w:val="Normal"/>
    <w:qFormat/>
    <w:pPr>
      <w:keepNext/>
      <w:spacing w:after="240" w:line="240" w:lineRule="auto"/>
      <w:contextualSpacing/>
    </w:pPr>
    <w:rPr>
      <w:rFonts w:ascii="Arial" w:eastAsia="Arial" w:hAnsi="Arial" w:cs="Arial"/>
      <w:b/>
      <w:color w:val="000000"/>
      <w:spacing w:val="5"/>
      <w:sz w:val="34"/>
      <w:szCs w:val="52"/>
    </w:rPr>
  </w:style>
  <w:style w:type="character" w:styleId="TitleChar" w:customStyle="1">
    <w:name w:val="Title Char"/>
    <w:basedOn w:val="DefaultParagraphFont"/>
    <w:link w:val="Title"/>
    <w:rPr>
      <w:rFonts w:eastAsiaTheme="majorEastAsia" w:hAnsiTheme="majorHAnsi" w:cstheme="majorBidi" w:ascii="Calibri"/>
      <w:color w:val="17365D"/>
      <w:spacing w:val="5"/>
      <w:sz w:val="52"/>
      <w:szCs w:val="52"/>
    </w:rPr>
  </w:style>
  <w:style w:type="paragraph" w:styleId="Subtitle">
    <w:name w:val="Subtitle"/>
    <w:basedOn w:val="Normal"/>
    <w:link w:val="SubtitleChar"/>
    <w:next w:val="Normal"/>
    <w:qFormat/>
    <w:pPr>
      <w:numPr>
        <w:ilvl w:val="1"/>
      </w:numPr>
      <w:spacing/>
    </w:pPr>
    <w:rPr>
      <w:rFonts w:eastAsiaTheme="majorEastAsia" w:hAnsiTheme="majorHAnsi" w:cstheme="majorBidi" w:ascii="Calibri"/>
      <w:i/>
      <w:iCs/>
      <w:color w:val="4F81BD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rPr>
      <w:rFonts w:eastAsiaTheme="majorEastAsia" w:hAnsiTheme="majorHAnsi" w:cstheme="majorBidi" w:ascii="Calibr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qFormat/>
    <w:pPr>
      <w:spacing/>
      <w:ind w:left="720"/>
      <w:contextualSpacing/>
    </w:pPr>
    <w:rPr/>
  </w:style>
  <w:style w:type="paragraph" w:styleId="BodyText">
    <w:name w:val="Body Text"/>
    <w:basedOn w:val="Normal"/>
    <w:link w:val="BodyTextChar"/>
    <w:unhideWhenUsed/>
    <w:pPr>
      <w:spacing w:after="120"/>
    </w:pPr>
    <w:rPr/>
  </w:style>
  <w:style w:type="character" w:styleId="BodyTextChar" w:customStyle="1">
    <w:name w:val="Body Text Char"/>
    <w:basedOn w:val="DefaultParagraphFont"/>
    <w:link w:val="BodyText"/>
    <w:rPr/>
  </w:style>
  <w:style w:type="paragraph" w:styleId="BodyText2">
    <w:name w:val="Body Text 2"/>
    <w:basedOn w:val="Normal"/>
    <w:link w:val="BodyText2Char"/>
    <w:unhideWhenUsed/>
    <w:pPr>
      <w:spacing w:after="120" w:line="480" w:lineRule="auto"/>
    </w:pPr>
    <w:rPr/>
  </w:style>
  <w:style w:type="character" w:styleId="BodyText2Char" w:customStyle="1">
    <w:name w:val="Body Text 2 Char"/>
    <w:basedOn w:val="DefaultParagraphFont"/>
    <w:link w:val="BodyText2"/>
    <w:rPr/>
  </w:style>
  <w:style w:type="paragraph" w:styleId="BodyText3">
    <w:name w:val="Body Text 3"/>
    <w:basedOn w:val="Normal"/>
    <w:link w:val="BodyText3Char"/>
    <w:unhideWhenUsed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rPr>
      <w:sz w:val="16"/>
      <w:szCs w:val="16"/>
    </w:rPr>
  </w:style>
  <w:style w:type="paragraph" w:styleId="List">
    <w:name w:val="List"/>
    <w:basedOn w:val="Normal"/>
    <w:unhideWhenUsed/>
    <w:pPr>
      <w:spacing/>
      <w:ind w:left="360" w:hanging="360"/>
      <w:contextualSpacing/>
    </w:pPr>
    <w:rPr/>
  </w:style>
  <w:style w:type="paragraph" w:styleId="List2">
    <w:name w:val="List 2"/>
    <w:basedOn w:val="Normal"/>
    <w:unhideWhenUsed/>
    <w:pPr>
      <w:spacing/>
      <w:ind w:left="720" w:hanging="360"/>
      <w:contextualSpacing/>
    </w:pPr>
    <w:rPr/>
  </w:style>
  <w:style w:type="paragraph" w:styleId="List3">
    <w:name w:val="List 3"/>
    <w:basedOn w:val="Normal"/>
    <w:unhideWhenUsed/>
    <w:pPr>
      <w:spacing/>
      <w:ind w:left="1080" w:hanging="360"/>
      <w:contextualSpacing/>
    </w:pPr>
    <w:rPr/>
  </w:style>
  <w:style w:type="paragraph" w:styleId="ListBullet">
    <w:name w:val="List Bullet"/>
    <w:basedOn w:val="Normal"/>
    <w:unhideWhenUsed/>
    <w:pPr>
      <w:numPr>
        <w:ilvl w:val="0"/>
        <w:numId w:val="11"/>
      </w:numPr>
      <w:spacing/>
      <w:contextualSpacing/>
    </w:pPr>
    <w:rPr/>
  </w:style>
  <w:style w:type="paragraph" w:styleId="ListBullet2">
    <w:name w:val="List Bullet 2"/>
    <w:basedOn w:val="Normal"/>
    <w:unhideWhenUsed/>
    <w:pPr>
      <w:numPr>
        <w:ilvl w:val="0"/>
        <w:numId w:val="9"/>
      </w:numPr>
      <w:spacing/>
      <w:contextualSpacing/>
    </w:pPr>
    <w:rPr/>
  </w:style>
  <w:style w:type="paragraph" w:styleId="ListBullet3">
    <w:name w:val="List Bullet 3"/>
    <w:basedOn w:val="Normal"/>
    <w:unhideWhenUsed/>
    <w:pPr>
      <w:numPr>
        <w:ilvl w:val="0"/>
        <w:numId w:val="8"/>
      </w:numPr>
      <w:spacing/>
      <w:contextualSpacing/>
    </w:pPr>
    <w:rPr/>
  </w:style>
  <w:style w:type="paragraph" w:styleId="ListNumber">
    <w:name w:val="List Number"/>
    <w:basedOn w:val="Normal"/>
    <w:unhideWhenUsed/>
    <w:pPr>
      <w:numPr>
        <w:ilvl w:val="0"/>
        <w:numId w:val="10"/>
      </w:numPr>
      <w:spacing/>
      <w:contextualSpacing/>
    </w:pPr>
    <w:rPr/>
  </w:style>
  <w:style w:type="paragraph" w:styleId="ListNumber2">
    <w:name w:val="List Number 2"/>
    <w:basedOn w:val="Normal"/>
    <w:unhideWhenUsed/>
    <w:pPr>
      <w:numPr>
        <w:ilvl w:val="0"/>
        <w:numId w:val="6"/>
      </w:numPr>
      <w:spacing/>
      <w:contextualSpacing/>
    </w:pPr>
    <w:rPr/>
  </w:style>
  <w:style w:type="paragraph" w:styleId="ListNumber3">
    <w:name w:val="List Number 3"/>
    <w:basedOn w:val="Normal"/>
    <w:unhideWhenUsed/>
    <w:pPr>
      <w:numPr>
        <w:ilvl w:val="0"/>
        <w:numId w:val="5"/>
      </w:numPr>
      <w:spacing/>
      <w:contextualSpacing/>
    </w:pPr>
    <w:rPr/>
  </w:style>
  <w:style w:type="paragraph" w:styleId="ListContinue">
    <w:name w:val="List Continue"/>
    <w:basedOn w:val="Normal"/>
    <w:unhideWhenUsed/>
    <w:pPr>
      <w:spacing w:after="120"/>
      <w:ind w:left="360"/>
      <w:contextualSpacing/>
    </w:pPr>
    <w:rPr/>
  </w:style>
  <w:style w:type="paragraph" w:styleId="ListContinue2">
    <w:name w:val="List Continue 2"/>
    <w:basedOn w:val="Normal"/>
    <w:unhideWhenUsed/>
    <w:pPr>
      <w:spacing w:after="120"/>
      <w:ind w:left="720"/>
      <w:contextualSpacing/>
    </w:pPr>
    <w:rPr/>
  </w:style>
  <w:style w:type="paragraph" w:styleId="ListContinue3">
    <w:name w:val="List Continue 3"/>
    <w:basedOn w:val="Normal"/>
    <w:unhideWhenUsed/>
    <w:pPr>
      <w:spacing w:after="120"/>
      <w:ind w:left="1080"/>
      <w:contextualSpacing/>
    </w:pPr>
    <w:rPr/>
  </w:style>
  <w:style w:type="paragraph" w:styleId="MacroText">
    <w:name w:val="Macro Text"/>
    <w:link w:val="MacroTextChar"/>
    <w:unhideWhenUsed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  <w:spacing/>
    </w:pPr>
    <w:rPr>
      <w:rFonts w:ascii="Courier" w:eastAsia="Courier" w:hAnsi="Courier" w:cs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rPr>
      <w:rFonts w:ascii="Courier" w:eastAsia="Courier" w:hAnsi="Courier" w:cs="Courier"/>
      <w:sz w:val="20"/>
      <w:szCs w:val="20"/>
    </w:rPr>
  </w:style>
  <w:style w:type="paragraph" w:styleId="Quote">
    <w:name w:val="Quote"/>
    <w:basedOn w:val="Normal"/>
    <w:link w:val="QuoteChar"/>
    <w:next w:val="Normal"/>
    <w:qFormat/>
    <w:pPr>
      <w:spacing/>
    </w:pPr>
    <w:rPr>
      <w:i/>
      <w:iCs/>
      <w:color w:val="000000"/>
    </w:rPr>
  </w:style>
  <w:style w:type="character" w:styleId="QuoteChar" w:customStyle="1">
    <w:name w:val="Quote Char"/>
    <w:basedOn w:val="DefaultParagraphFont"/>
    <w:link w:val="Quote"/>
    <w:rPr>
      <w:i/>
      <w:iCs/>
      <w:color w:val="000000"/>
    </w:rPr>
  </w:style>
  <w:style w:type="character" w:styleId="Heading4Char" w:customStyle="1">
    <w:name w:val="Heading 4 Char"/>
    <w:basedOn w:val="DefaultParagraphFont"/>
    <w:link w:val="Heading4"/>
    <w:semiHidden/>
    <w:rPr>
      <w:rFonts w:eastAsiaTheme="majorEastAsia" w:hAnsiTheme="majorHAnsi" w:cstheme="majorBidi" w:ascii="Calibri"/>
      <w:b/>
      <w:bCs/>
      <w:i/>
      <w:iCs/>
      <w:color w:val="4F81BD"/>
    </w:rPr>
  </w:style>
  <w:style w:type="character" w:styleId="Heading5Char" w:customStyle="1">
    <w:name w:val="Heading 5 Char"/>
    <w:basedOn w:val="DefaultParagraphFont"/>
    <w:link w:val="Heading5"/>
    <w:semiHidden/>
    <w:rPr>
      <w:rFonts w:eastAsiaTheme="majorEastAsia" w:hAnsiTheme="majorHAnsi" w:cstheme="majorBidi" w:ascii="Calibri"/>
      <w:color w:val="243F60"/>
    </w:rPr>
  </w:style>
  <w:style w:type="character" w:styleId="Heading6Char" w:customStyle="1">
    <w:name w:val="Heading 6 Char"/>
    <w:basedOn w:val="DefaultParagraphFont"/>
    <w:link w:val="Heading6"/>
    <w:semiHidden/>
    <w:rPr>
      <w:rFonts w:eastAsiaTheme="majorEastAsia" w:hAnsiTheme="majorHAnsi" w:cstheme="majorBidi" w:ascii="Calibri"/>
      <w:i/>
      <w:iCs/>
      <w:color w:val="243F60"/>
    </w:rPr>
  </w:style>
  <w:style w:type="character" w:styleId="Heading7Char" w:customStyle="1">
    <w:name w:val="Heading 7 Char"/>
    <w:basedOn w:val="DefaultParagraphFont"/>
    <w:link w:val="Heading7"/>
    <w:semiHidden/>
    <w:rPr>
      <w:rFonts w:eastAsiaTheme="majorEastAsia" w:hAnsiTheme="majorHAnsi" w:cstheme="majorBidi" w:ascii="Calibri"/>
      <w:i/>
      <w:iCs/>
      <w:color w:val="404040"/>
    </w:rPr>
  </w:style>
  <w:style w:type="character" w:styleId="Heading8Char" w:customStyle="1">
    <w:name w:val="Heading 8 Char"/>
    <w:basedOn w:val="DefaultParagraphFont"/>
    <w:link w:val="Heading8"/>
    <w:semiHidden/>
    <w:rPr>
      <w:rFonts w:eastAsiaTheme="majorEastAsia" w:hAnsiTheme="majorHAnsi" w:cstheme="majorBidi" w:ascii="Calibri"/>
      <w:color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semiHidden/>
    <w:rPr>
      <w:rFonts w:eastAsiaTheme="majorEastAsia" w:hAnsiTheme="majorHAnsi" w:cstheme="majorBidi" w:ascii="Calibri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IntenseQuote">
    <w:name w:val="Intense Quote"/>
    <w:basedOn w:val="Normal"/>
    <w:link w:val="IntenseQuoteChar"/>
    <w:next w:val="Normal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QuoteChar" w:customStyle="1">
    <w:name w:val="Intense Quote Char"/>
    <w:basedOn w:val="DefaultParagraphFont"/>
    <w:link w:val="IntenseQuote"/>
    <w:rPr>
      <w:b/>
      <w:bCs/>
      <w:i/>
      <w:iCs/>
      <w:color w:val="4F81BD"/>
    </w:r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semiHidden/>
    <w:unhideWhenUsed/>
    <w:qFormat/>
    <w:pPr>
      <w:spacing/>
    </w:pPr>
    <w:rPr/>
  </w:style>
  <w:style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 Light Shading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none" w:sz="0" w:space="0" w:color="auto"/>
        <w:bottom w:val="single" w:sz="8" w:space="0" w:color="000000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left w:val="none" w:sz="0" w:space="0" w:color="auto"/>
        <w:bottom w:val="single" w:sz="8" w:space="0" w:color="4F81B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left w:val="none" w:sz="0" w:space="0" w:color="auto"/>
        <w:bottom w:val="single" w:sz="8" w:space="0" w:color="C0504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left w:val="none" w:sz="0" w:space="0" w:color="auto"/>
        <w:bottom w:val="single" w:sz="8" w:space="0" w:color="9BBB59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left w:val="none" w:sz="0" w:space="0" w:color="auto"/>
        <w:bottom w:val="single" w:sz="8" w:space="0" w:color="8064A2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left w:val="none" w:sz="0" w:space="0" w:color="auto"/>
        <w:bottom w:val="single" w:sz="8" w:space="0" w:color="4BACC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</w:style>
  <w:style w:type="table" w:styleId="LightList">
    <w:name w:val="Light List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1">
    <w:name w:val="Light List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2">
    <w:name w:val="Light List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3">
    <w:name w:val="Light List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4">
    <w:name w:val="Light List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5">
    <w:name w:val="Light List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6">
    <w:name w:val="Light List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Grid">
    <w:name w:val="Light Grid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single" w:sz="8" w:space="0" w:color="000000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2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single" w:sz="8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LightGrid-Accent1">
    <w:name w:val="Light Grid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single" w:sz="8" w:space="0" w:color="4F81BD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2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single" w:sz="8" w:space="0" w:color="4F81BD"/>
          <w:tl2br w:val="none" w:sz="0" w:space="0" w:color="auto"/>
          <w:tr2bl w:val="none" w:sz="0" w:space="0" w:color="auto"/>
        </w:tcBorders>
      </w:tcPr>
    </w:tblStylePr>
  </w:style>
  <w:style w:type="table" w:styleId="LightGrid-Accent2">
    <w:name w:val="Light Grid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single" w:sz="8" w:space="0" w:color="C0504D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2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single" w:sz="8" w:space="0" w:color="C0504D"/>
          <w:tl2br w:val="none" w:sz="0" w:space="0" w:color="auto"/>
          <w:tr2bl w:val="none" w:sz="0" w:space="0" w:color="auto"/>
        </w:tcBorders>
      </w:tcPr>
    </w:tblStylePr>
  </w:style>
  <w:style w:type="table" w:styleId="LightGrid-Accent3">
    <w:name w:val=" Light Grid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single" w:sz="8" w:space="0" w:color="9BBB59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2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single" w:sz="8" w:space="0" w:color="9BBB59"/>
          <w:tl2br w:val="none" w:sz="0" w:space="0" w:color="auto"/>
          <w:tr2bl w:val="none" w:sz="0" w:space="0" w:color="auto"/>
        </w:tcBorders>
      </w:tcPr>
    </w:tblStylePr>
  </w:style>
  <w:style w:type="table" w:styleId="LightGrid-Accent4">
    <w:name w:val="Light Grid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single" w:sz="8" w:space="0" w:color="8064A2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2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single" w:sz="8" w:space="0" w:color="8064A2"/>
          <w:tl2br w:val="none" w:sz="0" w:space="0" w:color="auto"/>
          <w:tr2bl w:val="none" w:sz="0" w:space="0" w:color="auto"/>
        </w:tcBorders>
      </w:tcPr>
    </w:tblStylePr>
  </w:style>
  <w:style w:type="table" w:styleId="LightGrid-Accent5">
    <w:name w:val="Light Grid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single" w:sz="8" w:space="0" w:color="4BACC6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2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single" w:sz="8" w:space="0" w:color="4BACC6"/>
          <w:tl2br w:val="none" w:sz="0" w:space="0" w:color="auto"/>
          <w:tr2bl w:val="none" w:sz="0" w:space="0" w:color="auto"/>
        </w:tcBorders>
      </w:tcPr>
    </w:tblStylePr>
  </w:style>
  <w:style w:type="table" w:styleId="LightGrid-Accent6">
    <w:name w:val="Light Grid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single" w:sz="8" w:space="0" w:color="F79646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2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single" w:sz="8" w:space="0" w:color="F79646"/>
          <w:tl2br w:val="none" w:sz="0" w:space="0" w:color="auto"/>
          <w:tr2bl w:val="none" w:sz="0" w:space="0" w:color="auto"/>
        </w:tcBorders>
      </w:tcPr>
    </w:tblStylePr>
  </w:style>
  <w:style w:type="table" w:styleId="MediumShading1">
    <w:name w:val="Medium Shading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1">
    <w:name w:val="Medium Shading 1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2">
    <w:name w:val="Medium Shading 1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2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3">
    <w:name w:val="Medium Shading 1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4">
    <w:name w:val="Medium Shading 1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5">
    <w:name w:val="Medium Shading 1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1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6">
    <w:name w:val="Medium Shading 1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4D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">
    <w:name w:val="Medium Shading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1">
    <w:name w:val="Medium Shading 2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2">
    <w:name w:val="Medium Shading 2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3">
    <w:name w:val="Medium Shading 2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4">
    <w:name w:val="Medium Shading 2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5">
    <w:name w:val="Medium Shading 2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6">
    <w:name w:val="Medium Shading 2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List1">
    <w:name w:val="Medium Lis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none" w:sz="0" w:space="0" w:color="auto"/>
        <w:bottom w:val="single" w:sz="8" w:space="0" w:color="000000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styleId="MediumList1-Accent1">
    <w:name w:val="Medium List 1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none" w:sz="0" w:space="0" w:color="auto"/>
        <w:bottom w:val="single" w:sz="8" w:space="0" w:color="4F81B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4F81B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F81BD"/>
          <w:left w:val="none" w:sz="0" w:space="0" w:color="auto"/>
          <w:bottom w:val="single" w:sz="8" w:space="0" w:color="4F81B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F81BD"/>
          <w:left w:val="none" w:sz="0" w:space="0" w:color="auto"/>
          <w:bottom w:val="single" w:sz="8" w:space="0" w:color="4F81B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D3DFEE"/>
      </w:tcPr>
    </w:tblStylePr>
    <w:tblStylePr w:type="band1Horz">
      <w:tcPr>
        <w:shd w:val="clear" w:color="auto" w:fill="D3DFEE"/>
      </w:tcPr>
    </w:tblStylePr>
  </w:style>
  <w:style w:type="table" w:styleId="MediumList1-Accent2">
    <w:name w:val="Medium List 1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none" w:sz="0" w:space="0" w:color="auto"/>
        <w:bottom w:val="single" w:sz="8" w:space="0" w:color="C0504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C0504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C0504D"/>
          <w:left w:val="none" w:sz="0" w:space="0" w:color="auto"/>
          <w:bottom w:val="single" w:sz="8" w:space="0" w:color="C0504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C0504D"/>
          <w:left w:val="none" w:sz="0" w:space="0" w:color="auto"/>
          <w:bottom w:val="single" w:sz="8" w:space="0" w:color="C0504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EFD3D2"/>
      </w:tcPr>
    </w:tblStylePr>
    <w:tblStylePr w:type="band1Horz">
      <w:tcPr>
        <w:shd w:val="clear" w:color="auto" w:fill="EFD3D2"/>
      </w:tcPr>
    </w:tblStylePr>
  </w:style>
  <w:style w:type="table" w:styleId="MediumList1-Accent3">
    <w:name w:val="Medium List 1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none" w:sz="0" w:space="0" w:color="auto"/>
        <w:bottom w:val="single" w:sz="8" w:space="0" w:color="9BBB59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9BBB59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9BBB59"/>
          <w:left w:val="none" w:sz="0" w:space="0" w:color="auto"/>
          <w:bottom w:val="single" w:sz="8" w:space="0" w:color="9BBB59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9BBB59"/>
          <w:left w:val="none" w:sz="0" w:space="0" w:color="auto"/>
          <w:bottom w:val="single" w:sz="8" w:space="0" w:color="9BBB59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E6EED5"/>
      </w:tcPr>
    </w:tblStylePr>
    <w:tblStylePr w:type="band1Horz">
      <w:tcPr>
        <w:shd w:val="clear" w:color="auto" w:fill="E6EED5"/>
      </w:tcPr>
    </w:tblStylePr>
  </w:style>
  <w:style w:type="table" w:styleId="MediumList1-Accent4">
    <w:name w:val="Medium List 1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none" w:sz="0" w:space="0" w:color="auto"/>
        <w:bottom w:val="single" w:sz="8" w:space="0" w:color="8064A2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8064A2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8064A2"/>
          <w:left w:val="none" w:sz="0" w:space="0" w:color="auto"/>
          <w:bottom w:val="single" w:sz="8" w:space="0" w:color="8064A2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8064A2"/>
          <w:left w:val="none" w:sz="0" w:space="0" w:color="auto"/>
          <w:bottom w:val="single" w:sz="8" w:space="0" w:color="8064A2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DFD8E8"/>
      </w:tcPr>
    </w:tblStylePr>
    <w:tblStylePr w:type="band1Horz">
      <w:tcPr>
        <w:shd w:val="clear" w:color="auto" w:fill="DFD8E8"/>
      </w:tcPr>
    </w:tblStylePr>
  </w:style>
  <w:style w:type="table" w:styleId="MediumList1-Accent5">
    <w:name w:val="Medium List 1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none" w:sz="0" w:space="0" w:color="auto"/>
        <w:bottom w:val="single" w:sz="8" w:space="0" w:color="4BACC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4BACC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BACC6"/>
          <w:left w:val="none" w:sz="0" w:space="0" w:color="auto"/>
          <w:bottom w:val="single" w:sz="8" w:space="0" w:color="4BACC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BACC6"/>
          <w:left w:val="none" w:sz="0" w:space="0" w:color="auto"/>
          <w:bottom w:val="single" w:sz="8" w:space="0" w:color="4BACC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D2EAF1"/>
      </w:tcPr>
    </w:tblStylePr>
    <w:tblStylePr w:type="band1Horz">
      <w:tcPr>
        <w:shd w:val="clear" w:color="auto" w:fill="D2EAF1"/>
      </w:tcPr>
    </w:tblStylePr>
  </w:style>
  <w:style w:type="table" w:styleId="MediumList1-Accent6">
    <w:name w:val="Medium List 1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F7964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F79646"/>
          <w:left w:val="none" w:sz="0" w:space="0" w:color="auto"/>
          <w:bottom w:val="single" w:sz="8" w:space="0" w:color="F7964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F79646"/>
          <w:left w:val="none" w:sz="0" w:space="0" w:color="auto"/>
          <w:bottom w:val="single" w:sz="8" w:space="0" w:color="F7964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FDE4D0"/>
      </w:tcPr>
    </w:tblStylePr>
    <w:tblStylePr w:type="band1Horz">
      <w:tcPr>
        <w:shd w:val="clear" w:color="auto" w:fill="FDE4D0"/>
      </w:tcPr>
    </w:tblStylePr>
  </w:style>
  <w:style w:type="table" w:styleId="MediumList2">
    <w:name w:val="Medium List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1">
    <w:name w:val="Medium List 2 Accent 1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2">
    <w:name w:val="Medium List 2 Accent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3">
    <w:name w:val="Medium List 2 Accent 3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4">
    <w:name w:val="Medium List 2 Accent 4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5">
    <w:name w:val="Medium List 2 Accent 5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6">
    <w:name w:val="Medium List 2 Accent 6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Grid1">
    <w:name w:val="Medium Grid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40404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MediumGrid1-Accent1">
    <w:name w:val="Medium Grid 1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BA0CD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MediumGrid1-Accent2">
    <w:name w:val="Medium Grid 1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CF7B79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MediumGrid1-Accent3">
    <w:name w:val="Medium Grid 1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B3CC82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MediumGrid1-Accent4">
    <w:name w:val="Medium Grid 1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9F8AB9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MediumGrid1-Accent5">
    <w:name w:val="Medium Grid 1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8C0D4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MediumGrid1-Accent6">
    <w:name w:val="Medium Grid 1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F9B074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  <w:style w:type="table" w:styleId="MediumGrid2">
    <w:name w:val="Medium Grid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cPr>
        <w:shd w:val="clear" w:color="auto" w:fill="E6E6E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CCCCC"/>
      </w:tcPr>
    </w:tblStylePr>
    <w:tblStylePr w:type="band1Vert">
      <w:tcPr>
        <w:shd w:val="clear" w:color="auto" w:fill="80808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000000"/>
          <w:insideV w:val="single" w:sz="6" w:space="0" w:color="000000"/>
          <w:tl2br w:val="none" w:sz="0" w:space="0" w:color="auto"/>
          <w:tr2bl w:val="none" w:sz="0" w:space="0" w:color="auto"/>
        </w:tcBorders>
        <w:shd w:val="clear" w:color="auto" w:fill="808080"/>
      </w:tcPr>
    </w:tblStylePr>
    <w:tblStylePr w:type="nwCell">
      <w:tcPr>
        <w:shd w:val="clear" w:color="auto" w:fill="FFFFFF"/>
      </w:tcPr>
    </w:tblStylePr>
  </w:style>
  <w:style w:type="table" w:styleId="MediumGrid2-Accent1">
    <w:name w:val="Medium Grid 2 Accent 1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cPr>
        <w:shd w:val="clear" w:color="auto" w:fill="EDF2F8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BE5F1"/>
      </w:tcPr>
    </w:tblStylePr>
    <w:tblStylePr w:type="band1Vert">
      <w:tcPr>
        <w:shd w:val="clear" w:color="auto" w:fill="A7BFDE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4F81BD"/>
          <w:insideV w:val="single" w:sz="6" w:space="0" w:color="4F81BD"/>
          <w:tl2br w:val="none" w:sz="0" w:space="0" w:color="auto"/>
          <w:tr2bl w:val="none" w:sz="0" w:space="0" w:color="auto"/>
        </w:tcBorders>
        <w:shd w:val="clear" w:color="auto" w:fill="A7BFDE"/>
      </w:tcPr>
    </w:tblStylePr>
    <w:tblStylePr w:type="nwCell">
      <w:tcPr>
        <w:shd w:val="clear" w:color="auto" w:fill="FFFFFF"/>
      </w:tcPr>
    </w:tblStylePr>
  </w:style>
  <w:style w:type="table" w:styleId="MediumGrid2-Accent2">
    <w:name w:val="Medium Grid 2 Accent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cPr>
        <w:shd w:val="clear" w:color="auto" w:fill="F8EDED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2DBDB"/>
      </w:tcPr>
    </w:tblStylePr>
    <w:tblStylePr w:type="band1Vert">
      <w:tcPr>
        <w:shd w:val="clear" w:color="auto" w:fill="DFA7A6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C0504D"/>
          <w:insideV w:val="single" w:sz="6" w:space="0" w:color="C0504D"/>
          <w:tl2br w:val="none" w:sz="0" w:space="0" w:color="auto"/>
          <w:tr2bl w:val="none" w:sz="0" w:space="0" w:color="auto"/>
        </w:tcBorders>
        <w:shd w:val="clear" w:color="auto" w:fill="DFA7A6"/>
      </w:tcPr>
    </w:tblStylePr>
    <w:tblStylePr w:type="nwCell">
      <w:tcPr>
        <w:shd w:val="clear" w:color="auto" w:fill="FFFFFF"/>
      </w:tcPr>
    </w:tblStylePr>
  </w:style>
  <w:style w:type="table" w:styleId="MediumGrid2-Accent3">
    <w:name w:val="Medium Grid 2 Accent 3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cPr>
        <w:shd w:val="clear" w:color="auto" w:fill="F5F8EE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AF1DD"/>
      </w:tcPr>
    </w:tblStylePr>
    <w:tblStylePr w:type="band1Vert">
      <w:tcPr>
        <w:shd w:val="clear" w:color="auto" w:fill="CDDDAC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9BBB59"/>
          <w:insideV w:val="single" w:sz="6" w:space="0" w:color="9BBB59"/>
          <w:tl2br w:val="none" w:sz="0" w:space="0" w:color="auto"/>
          <w:tr2bl w:val="none" w:sz="0" w:space="0" w:color="auto"/>
        </w:tcBorders>
        <w:shd w:val="clear" w:color="auto" w:fill="CDDDAC"/>
      </w:tcPr>
    </w:tblStylePr>
    <w:tblStylePr w:type="nwCell">
      <w:tcPr>
        <w:shd w:val="clear" w:color="auto" w:fill="FFFFFF"/>
      </w:tcPr>
    </w:tblStylePr>
  </w:style>
  <w:style w:type="table" w:styleId="MediumGrid2-Accent4">
    <w:name w:val="Medium Grid 2 Accent 4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cPr>
        <w:shd w:val="clear" w:color="auto" w:fill="F2EFF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5DFEC"/>
      </w:tcPr>
    </w:tblStylePr>
    <w:tblStylePr w:type="band1Vert">
      <w:tcPr>
        <w:shd w:val="clear" w:color="auto" w:fill="BFB1D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8064A2"/>
          <w:insideV w:val="single" w:sz="6" w:space="0" w:color="8064A2"/>
          <w:tl2br w:val="none" w:sz="0" w:space="0" w:color="auto"/>
          <w:tr2bl w:val="none" w:sz="0" w:space="0" w:color="auto"/>
        </w:tcBorders>
        <w:shd w:val="clear" w:color="auto" w:fill="BFB1D0"/>
      </w:tcPr>
    </w:tblStylePr>
    <w:tblStylePr w:type="nwCell">
      <w:tcPr>
        <w:shd w:val="clear" w:color="auto" w:fill="FFFFFF"/>
      </w:tcPr>
    </w:tblStylePr>
  </w:style>
  <w:style w:type="table" w:styleId="MediumGrid2-Accent5">
    <w:name w:val="Medium Grid 2 Accent 5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cPr>
        <w:shd w:val="clear" w:color="auto" w:fill="EDF6F9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AEEF3"/>
      </w:tcPr>
    </w:tblStylePr>
    <w:tblStylePr w:type="band1Vert">
      <w:tcPr>
        <w:shd w:val="clear" w:color="auto" w:fill="A5D5E2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4BACC6"/>
          <w:insideV w:val="single" w:sz="6" w:space="0" w:color="4BACC6"/>
          <w:tl2br w:val="none" w:sz="0" w:space="0" w:color="auto"/>
          <w:tr2bl w:val="none" w:sz="0" w:space="0" w:color="auto"/>
        </w:tcBorders>
        <w:shd w:val="clear" w:color="auto" w:fill="A5D5E2"/>
      </w:tcPr>
    </w:tblStylePr>
    <w:tblStylePr w:type="nwCell">
      <w:tcPr>
        <w:shd w:val="clear" w:color="auto" w:fill="FFFFFF"/>
      </w:tcPr>
    </w:tblStylePr>
  </w:style>
  <w:style w:type="table" w:styleId="MediumGrid2-Accent6">
    <w:name w:val="Medium Grid 2 Accent 6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cPr>
        <w:shd w:val="clear" w:color="auto" w:fill="FEF4EC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9D9"/>
      </w:tcPr>
    </w:tblStylePr>
    <w:tblStylePr w:type="band1Vert">
      <w:tcPr>
        <w:shd w:val="clear" w:color="auto" w:fill="FBCAA2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F79646"/>
          <w:insideV w:val="single" w:sz="6" w:space="0" w:color="F79646"/>
          <w:tl2br w:val="none" w:sz="0" w:space="0" w:color="auto"/>
          <w:tr2bl w:val="none" w:sz="0" w:space="0" w:color="auto"/>
        </w:tcBorders>
        <w:shd w:val="clear" w:color="auto" w:fill="FBCAA2"/>
      </w:tcPr>
    </w:tblStylePr>
    <w:tblStylePr w:type="nwCell">
      <w:tcPr>
        <w:shd w:val="clear" w:color="auto" w:fill="FFFFFF"/>
      </w:tcPr>
    </w:tblStylePr>
  </w:style>
  <w:style w:type="table" w:styleId="MediumGrid3">
    <w:name w:val="Medium Grid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808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A7BFDE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A7A6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DDDAC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BFB1D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BFB1D0"/>
      </w:tcPr>
    </w:tblStylePr>
  </w:style>
  <w:style w:type="table" w:styleId="MediumGrid3-Accent5">
    <w:name w:val="Medium Grid 3 Accent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A5D5E2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BCAA2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FBCAA2"/>
      </w:tcPr>
    </w:tblStylePr>
  </w:style>
  <w:style w:type="table" w:styleId="DarkList">
    <w:name w:val="Dark List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</w:style>
  <w:style w:type="table" w:styleId="DarkList-Accent1">
    <w:name w:val="Dark List Accent 1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43F60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</w:style>
  <w:style w:type="table" w:styleId="DarkList-Accent2">
    <w:name w:val="Dark List Accent 2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622423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</w:style>
  <w:style w:type="table" w:styleId="DarkList-Accent3">
    <w:name w:val="Dark List Accent 3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E6128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</w:style>
  <w:style w:type="table" w:styleId="DarkList-Accent4">
    <w:name w:val="Dark List Accent 4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F3151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</w:style>
  <w:style w:type="table" w:styleId="DarkList-Accent5">
    <w:name w:val="Dark List Accent 5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05867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</w:style>
  <w:style w:type="table" w:styleId="DarkList-Accent6">
    <w:name w:val="Dark List Accent 6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74706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</w:style>
  <w:style w:type="table" w:styleId="ColorfulShading">
    <w:name w:val="Colorful Shading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shd w:val="clear" w:color="auto" w:fill="999999"/>
      </w:tcPr>
    </w:tblStylePr>
    <w:tblStylePr w:type="band1Horz"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band1Vert">
      <w:tcPr>
        <w:shd w:val="clear" w:color="auto" w:fill="B8CCE4"/>
      </w:tcPr>
    </w:tblStylePr>
    <w:tblStylePr w:type="band1Horz"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772C2A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  <w:tl2br w:val="none" w:sz="0" w:space="0" w:color="auto"/>
          <w:tr2bl w:val="none" w:sz="0" w:space="0" w:color="auto"/>
        </w:tcBorders>
        <w:shd w:val="clear" w:color="auto" w:fill="772C2A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72C2A"/>
      </w:tcPr>
    </w:tblStylePr>
    <w:tblStylePr w:type="band1Vert">
      <w:tcPr>
        <w:shd w:val="clear" w:color="auto" w:fill="E5B8B7"/>
      </w:tcPr>
    </w:tblStylePr>
    <w:tblStylePr w:type="band1Horz"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5E753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  <w:tl2br w:val="none" w:sz="0" w:space="0" w:color="auto"/>
          <w:tr2bl w:val="none" w:sz="0" w:space="0" w:color="auto"/>
        </w:tcBorders>
        <w:shd w:val="clear" w:color="auto" w:fill="5E7530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E7530"/>
      </w:tcPr>
    </w:tblStylePr>
    <w:tblStylePr w:type="band1Vert">
      <w:tcPr>
        <w:shd w:val="clear" w:color="auto" w:fill="D6E3BC"/>
      </w:tcPr>
    </w:tblStylePr>
    <w:tblStylePr w:type="band1Horz"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4C3B62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  <w:tl2br w:val="none" w:sz="0" w:space="0" w:color="auto"/>
          <w:tr2bl w:val="none" w:sz="0" w:space="0" w:color="auto"/>
        </w:tcBorders>
        <w:shd w:val="clear" w:color="auto" w:fill="4C3B62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C3B62"/>
      </w:tcPr>
    </w:tblStylePr>
    <w:tblStylePr w:type="band1Vert">
      <w:tcPr>
        <w:shd w:val="clear" w:color="auto" w:fill="CCC0D9"/>
      </w:tcPr>
    </w:tblStylePr>
    <w:tblStylePr w:type="band1Horz"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276A7C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  <w:tl2br w:val="none" w:sz="0" w:space="0" w:color="auto"/>
          <w:tr2bl w:val="none" w:sz="0" w:space="0" w:color="auto"/>
        </w:tcBorders>
        <w:shd w:val="clear" w:color="auto" w:fill="276A7C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76A7C"/>
      </w:tcPr>
    </w:tblStylePr>
    <w:tblStylePr w:type="band1Vert">
      <w:tcPr>
        <w:shd w:val="clear" w:color="auto" w:fill="B6DDE8"/>
      </w:tcPr>
    </w:tblStylePr>
    <w:tblStylePr w:type="band1Horz"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B65608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  <w:tl2br w:val="none" w:sz="0" w:space="0" w:color="auto"/>
          <w:tr2bl w:val="none" w:sz="0" w:space="0" w:color="auto"/>
        </w:tcBorders>
        <w:shd w:val="clear" w:color="auto" w:fill="B65608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B65608"/>
      </w:tcPr>
    </w:tblStylePr>
    <w:tblStylePr w:type="band1Vert">
      <w:tcPr>
        <w:shd w:val="clear" w:color="auto" w:fill="FBD4B4"/>
      </w:tcPr>
    </w:tblStylePr>
    <w:tblStylePr w:type="band1Horz"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shd w:val="clear" w:color="auto" w:fill="CCCCCC"/>
      </w:tcPr>
    </w:tblStylePr>
  </w:style>
  <w:style w:type="table" w:styleId="ColorfulList-Accent1">
    <w:name w:val="Colorful List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shd w:val="clear" w:color="auto" w:fill="DBE5F1"/>
      </w:tcPr>
    </w:tblStylePr>
  </w:style>
  <w:style w:type="table" w:styleId="ColorfulList-Accent2">
    <w:name w:val="Colorful List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shd w:val="clear" w:color="auto" w:fill="F2DBDB"/>
      </w:tcPr>
    </w:tblStylePr>
  </w:style>
  <w:style w:type="table" w:styleId="ColorfulList-Accent3">
    <w:name w:val="Colorful List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664E82"/>
      </w:tcPr>
    </w:tblStylePr>
    <w:tblStylePr w:type="lastRow">
      <w:rPr>
        <w:b/>
        <w:bCs/>
        <w:color w:val="664E82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shd w:val="clear" w:color="auto" w:fill="EAF1DD"/>
      </w:tcPr>
    </w:tblStylePr>
  </w:style>
  <w:style w:type="table" w:styleId="ColorfulList-Accent4">
    <w:name w:val="Colorful List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7E9C40"/>
      </w:tcPr>
    </w:tblStylePr>
    <w:tblStylePr w:type="lastRow">
      <w:rPr>
        <w:b/>
        <w:bCs/>
        <w:color w:val="7E9C40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shd w:val="clear" w:color="auto" w:fill="E5DFEC"/>
      </w:tcPr>
    </w:tblStylePr>
  </w:style>
  <w:style w:type="table" w:styleId="ColorfulList-Accent5">
    <w:name w:val="Colorful List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2730A"/>
      </w:tcPr>
    </w:tblStylePr>
    <w:tblStylePr w:type="lastRow">
      <w:rPr>
        <w:b/>
        <w:bCs/>
        <w:color w:val="F2730A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shd w:val="clear" w:color="auto" w:fill="DAEEF3"/>
      </w:tcPr>
    </w:tblStylePr>
  </w:style>
  <w:style w:type="table" w:styleId="ColorfulList-Accent6">
    <w:name w:val="Colorful List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348DA5"/>
      </w:tcPr>
    </w:tblStylePr>
    <w:tblStylePr w:type="lastRow">
      <w:rPr>
        <w:b/>
        <w:bCs/>
        <w:color w:val="348DA5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shd w:val="clear" w:color="auto" w:fill="FDE9D9"/>
      </w:tcPr>
    </w:tblStylePr>
  </w:style>
  <w:style w:type="table" w:styleId="ColorfulGrid">
    <w:name w:val="Colorful Grid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cPr>
        <w:shd w:val="clear" w:color="auto" w:fill="999999"/>
      </w:tcPr>
    </w:tblStylePr>
    <w:tblStylePr w:type="lastRow">
      <w:rPr>
        <w:b/>
        <w:bCs/>
        <w:color w:val="000000"/>
      </w:rPr>
      <w:tcPr>
        <w:shd w:val="clear" w:color="auto" w:fill="999999"/>
      </w:tcPr>
    </w:tblStylePr>
    <w:tblStylePr w:type="firstCol">
      <w:rPr>
        <w:color w:val="FFFFFF"/>
      </w:rPr>
      <w:tcPr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ColorfulGrid-Accent1">
    <w:name w:val="Colorful Grid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cPr>
        <w:shd w:val="clear" w:color="auto" w:fill="B8CCE4"/>
      </w:tcPr>
    </w:tblStylePr>
    <w:tblStylePr w:type="lastRow">
      <w:rPr>
        <w:b/>
        <w:bCs/>
        <w:color w:val="000000"/>
      </w:rPr>
      <w:tcPr>
        <w:shd w:val="clear" w:color="auto" w:fill="B8CCE4"/>
      </w:tcPr>
    </w:tblStylePr>
    <w:tblStylePr w:type="firstCol">
      <w:rPr>
        <w:color w:val="FFFFFF"/>
      </w:rPr>
      <w:tcPr>
        <w:shd w:val="clear" w:color="auto" w:fill="365F91"/>
      </w:tcPr>
    </w:tblStylePr>
    <w:tblStylePr w:type="lastCol">
      <w:rPr>
        <w:color w:val="FFFFFF"/>
      </w:rPr>
      <w:tcPr>
        <w:shd w:val="clear" w:color="auto" w:fill="365F91"/>
      </w:tc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ColorfulGrid-Accent2">
    <w:name w:val="Colorful Grid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cPr>
        <w:shd w:val="clear" w:color="auto" w:fill="E5B8B7"/>
      </w:tcPr>
    </w:tblStylePr>
    <w:tblStylePr w:type="lastRow">
      <w:rPr>
        <w:b/>
        <w:bCs/>
        <w:color w:val="000000"/>
      </w:rPr>
      <w:tcPr>
        <w:shd w:val="clear" w:color="auto" w:fill="E5B8B7"/>
      </w:tcPr>
    </w:tblStylePr>
    <w:tblStylePr w:type="firstCol">
      <w:rPr>
        <w:color w:val="FFFFFF"/>
      </w:rPr>
      <w:tcPr>
        <w:shd w:val="clear" w:color="auto" w:fill="943634"/>
      </w:tcPr>
    </w:tblStylePr>
    <w:tblStylePr w:type="lastCol">
      <w:rPr>
        <w:color w:val="FFFFFF"/>
      </w:rPr>
      <w:tcPr>
        <w:shd w:val="clear" w:color="auto" w:fill="943634"/>
      </w:tc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ColorfulGrid-Accent3">
    <w:name w:val="Colorful Grid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cPr>
        <w:shd w:val="clear" w:color="auto" w:fill="D6E3BC"/>
      </w:tcPr>
    </w:tblStylePr>
    <w:tblStylePr w:type="lastRow">
      <w:rPr>
        <w:b/>
        <w:bCs/>
        <w:color w:val="000000"/>
      </w:rPr>
      <w:tcPr>
        <w:shd w:val="clear" w:color="auto" w:fill="D6E3BC"/>
      </w:tcPr>
    </w:tblStylePr>
    <w:tblStylePr w:type="firstCol">
      <w:rPr>
        <w:color w:val="FFFFFF"/>
      </w:rPr>
      <w:tcPr>
        <w:shd w:val="clear" w:color="auto" w:fill="76923C"/>
      </w:tcPr>
    </w:tblStylePr>
    <w:tblStylePr w:type="lastCol">
      <w:rPr>
        <w:color w:val="FFFFFF"/>
      </w:rPr>
      <w:tcPr>
        <w:shd w:val="clear" w:color="auto" w:fill="76923C"/>
      </w:tc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ColorfulGrid-Accent4">
    <w:name w:val="Colorful Grid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cPr>
        <w:shd w:val="clear" w:color="auto" w:fill="CCC0D9"/>
      </w:tcPr>
    </w:tblStylePr>
    <w:tblStylePr w:type="lastRow">
      <w:rPr>
        <w:b/>
        <w:bCs/>
        <w:color w:val="000000"/>
      </w:rPr>
      <w:tcPr>
        <w:shd w:val="clear" w:color="auto" w:fill="CCC0D9"/>
      </w:tcPr>
    </w:tblStylePr>
    <w:tblStylePr w:type="firstCol">
      <w:rPr>
        <w:color w:val="FFFFFF"/>
      </w:rPr>
      <w:tcPr>
        <w:shd w:val="clear" w:color="auto" w:fill="5F497A"/>
      </w:tcPr>
    </w:tblStylePr>
    <w:tblStylePr w:type="lastCol">
      <w:rPr>
        <w:color w:val="FFFFFF"/>
      </w:rPr>
      <w:tcPr>
        <w:shd w:val="clear" w:color="auto" w:fill="5F497A"/>
      </w:tc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ColorfulGrid-Accent5">
    <w:name w:val="Colorful Grid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cPr>
        <w:shd w:val="clear" w:color="auto" w:fill="B6DDE8"/>
      </w:tcPr>
    </w:tblStylePr>
    <w:tblStylePr w:type="lastRow">
      <w:rPr>
        <w:b/>
        <w:bCs/>
        <w:color w:val="000000"/>
      </w:rPr>
      <w:tcPr>
        <w:shd w:val="clear" w:color="auto" w:fill="B6DDE8"/>
      </w:tcPr>
    </w:tblStylePr>
    <w:tblStylePr w:type="firstCol">
      <w:rPr>
        <w:color w:val="FFFFFF"/>
      </w:rPr>
      <w:tcPr>
        <w:shd w:val="clear" w:color="auto" w:fill="31849B"/>
      </w:tcPr>
    </w:tblStylePr>
    <w:tblStylePr w:type="lastCol">
      <w:rPr>
        <w:color w:val="FFFFFF"/>
      </w:rPr>
      <w:tcPr>
        <w:shd w:val="clear" w:color="auto" w:fill="31849B"/>
      </w:tc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ColorfulGrid-Accent6">
    <w:name w:val="Colorful Grid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cPr>
        <w:shd w:val="clear" w:color="auto" w:fill="FBD4B4"/>
      </w:tcPr>
    </w:tblStylePr>
    <w:tblStylePr w:type="lastRow">
      <w:rPr>
        <w:b/>
        <w:bCs/>
        <w:color w:val="000000"/>
      </w:rPr>
      <w:tcPr>
        <w:shd w:val="clear" w:color="auto" w:fill="FBD4B4"/>
      </w:tcPr>
    </w:tblStylePr>
    <w:tblStylePr w:type="firstCol">
      <w:rPr>
        <w:color w:val="FFFFFF"/>
      </w:rPr>
      <w:tcPr>
        <w:shd w:val="clear" w:color="auto" w:fill="E36C0A"/>
      </w:tcPr>
    </w:tblStylePr>
    <w:tblStylePr w:type="lastCol">
      <w:rPr>
        <w:color w:val="FFFFFF"/>
      </w:rPr>
      <w:tcPr>
        <w:shd w:val="clear" w:color="auto" w:fill="E36C0A"/>
      </w:tc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</w:styles>
</file>

<file path=word/_rels/document.xml.rels><?xml version='1.0' encoding='UTF-8' standalone='yes'?>
<Relationships xmlns="http://schemas.openxmlformats.org/package/2006/relationships"><Relationship Id="rId23" Type="http://schemas.openxmlformats.org/officeDocument/2006/relationships/styles" Target="styles.xml"/><Relationship Id="rId24" Type="http://schemas.openxmlformats.org/officeDocument/2006/relationships/settings" Target="settings.xml"/><Relationship Id="rId25" Type="http://schemas.openxmlformats.org/officeDocument/2006/relationships/numbering" Target="numbering.xml"/><Relationship Id="rId20" Type="http://schemas.openxmlformats.org/officeDocument/2006/relationships/footer" Target="footer20.xml"/><Relationship Id="rId19" Type="http://schemas.openxmlformats.org/officeDocument/2006/relationships/header" Target="header19.xml"/><Relationship Id="rId27" Type="http://schemas.openxmlformats.org/officeDocument/2006/relationships/fontTable" Target="fontTable.xml"/><Relationship Id="rId28" Type="http://schemas.openxmlformats.org/officeDocument/2006/relationships/theme" Target="theme/theme1.xml"/><Relationship Id="rId2" Type="http://schemas.openxmlformats.org/officeDocument/2006/relationships/image" Target="media/image2.jpeg"/><Relationship Id="rId4" Type="http://schemas.openxmlformats.org/officeDocument/2006/relationships/image" Target="media/image4.jpeg"/><Relationship Id="rId6" Type="http://schemas.openxmlformats.org/officeDocument/2006/relationships/image" Target="media/image6.jpeg"/><Relationship Id="rId8" Type="http://schemas.openxmlformats.org/officeDocument/2006/relationships/image" Target="media/image8.jpeg"/><Relationship Id="rId10" Type="http://schemas.openxmlformats.org/officeDocument/2006/relationships/image" Target="media/image10.jpeg"/><Relationship Id="rId12" Type="http://schemas.openxmlformats.org/officeDocument/2006/relationships/image" Target="media/image12.jpeg"/><Relationship Id="rId14" Type="http://schemas.openxmlformats.org/officeDocument/2006/relationships/image" Target="media/image14.jpeg"/><Relationship Id="rId16" Type="http://schemas.openxmlformats.org/officeDocument/2006/relationships/image" Target="media/image16.jpeg"/><Relationship Id="rId18" Type="http://schemas.openxmlformats.org/officeDocument/2006/relationships/image" Target="media/image18.jpeg"/><Relationship Id="rIdTemplateImage37d67a4f4c474809a3c9e37a4aa3242f" Type="http://schemas.openxmlformats.org/officeDocument/2006/relationships/image" Target="media/template-image-282952cc66ff4474b6eedce9e006e224.png"/><Relationship Id="rIdTemplateImageb9c38241340345aeb52cfd4ed0491e55" Type="http://schemas.openxmlformats.org/officeDocument/2006/relationships/image" Target="media/template-image-da34e5e213564daca48614188dcb9d34.png"/><Relationship Id="rIdTemplateImage7c31d6c591ad4b7cb7657b0fe24ecb38" Type="http://schemas.openxmlformats.org/officeDocument/2006/relationships/image" Target="media/template-image-36ce76d570f74b0d9f7915e917e06d00.png"/><Relationship Id="rIdTemplateImage3735887bca9a492a970ed8e24a53186b" Type="http://schemas.openxmlformats.org/officeDocument/2006/relationships/image" Target="media/template-image-eb3787b5cdeb4ff586f9dcb99154d2fe.png"/><Relationship Id="rIdTemplateImage69b0b82f4e9a42e484739a16e6195af1" Type="http://schemas.openxmlformats.org/officeDocument/2006/relationships/image" Target="media/template-image-a27763654fa241049a2d6cfab002677d.png"/><Relationship Id="rIdTemplateImageb744e5afc99d4b86a081df57e84d2d7b" Type="http://schemas.openxmlformats.org/officeDocument/2006/relationships/image" Target="media/template-image-2734bf31e93a4acba352edf96e5ce49d.png"/><Relationship Id="rIdTemplateImage86017ac162404a338479fad3c1de486d" Type="http://schemas.openxmlformats.org/officeDocument/2006/relationships/image" Target="media/template-image-86adf96326b9495b8d76dcdabc20c0b8.png"/><Relationship Id="rIdTemplateImage14fffe993bbe435f9a59bf7be41dbf21" Type="http://schemas.openxmlformats.org/officeDocument/2006/relationships/image" Target="media/template-image-42626e7b98e948728975250da0665785.png"/><Relationship Id="rIdTemplateImage4688320f90774b0ba13f0d3b7a538271" Type="http://schemas.openxmlformats.org/officeDocument/2006/relationships/image" Target="media/template-image-7b1dda55d6dc4d8d84d8fe4078793b8b.png"/><Relationship Id="rIdExamplePrice" Type="http://schemas.openxmlformats.org/officeDocument/2006/relationships/image" Target="media/example-price.png"/></Relationships>
</file>

<file path=word/_rels/fontTable.xml.rels>&#65279;<?xml version="1.0" encoding="utf-8" standalone="yes"?><Relationships xmlns="http://schemas.openxmlformats.org/package/2006/relationships" />
</file>

<file path=word/_rels/header19.xml.rels>&#65279;<?xml version="1.0" encoding="utf-8" standalone="yes"?><Relationships xmlns="http://schemas.openxmlformats.org/package/2006/relationships"><Relationship Id="rId22" Type="http://schemas.openxmlformats.org/officeDocument/2006/relationships/image" Target="media/image22.jpeg" /></Relationships>
</file>

<file path=word/theme/theme1.xml><?xml version="1.0" encoding="utf-8"?>
<a:theme xmlns:a="http://schemas.openxmlformats.org/drawingml/2006/main" name="Office Theme">
  <a:themeElements>
    <a:clrScheme name="Office"/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xmlns:a="http://schemas.openxmlformats.org/drawingml/2006/main"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0</Characters>
  <CharactersWithSpaces>0</CharactersWithSpaces>
  <Application>Microsoft Macintosh Word</Application>
  <DocSecurity>0</DocSecurity>
  <Lines>0</Lines>
  <Paragraphs>0</Paragraphs>
  <Manager/>
  <Company/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valoración</dc:title>
  <dc:subject>Datos descriptivos_x002C_ gráficos y valoración catastral</dc:subject>
  <dc:creator>Goolzoom</dc:creator>
  <cp:keywords>catastro, informe catastral, parcela, inmueble, valoración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